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Xanadu Quantum Technologies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Subordinate Voting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BDC Capital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6,657,508.00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6,657,508.00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6,657,508.00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Prior to September 21, 2026, BDC Capital Inc. ("BDC") held 6,658,408 Class A Multiple Voting Shares ("Class A Shares") of Xanadu Quantum Technologies Limited (the "Company"), each of which is convertible at the holder's option into one Class B Subordinate Voting Share ("Class B Share"). BDC's conversion rights are subject to a Blocker Notice limiting conversion to 9.99% of outstanding Class B Shares. 2. On September 21, 2026, BDC converted 6,177,060 Class A Shares into Class B Shares. Between September 22, 2026 and the date of this filing, BDC sold 900 Class B Shares on the open market. 3. The percentage of beneficial ownership reported herein is based on publicly available information regarding the number of issued and outstanding Class B Shares as of September 22, 2026. 4. BDC Capital Inc. is a subsidiary of the Business Development Bank of Canada, a Crown corporation whose sole shareholder is the Government of Canada.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4"/>
        <w:gridCol w:w="8986"/>
        <w:gridCol w:w="155"/>
      </w:tblGrid>
      <w:tr>
        <w:trPr/>
        <w:tc>
          <w:tcPr>
            <w:tcW w:w="1064" w:type="dxa"/>
            <w:tcBorders/>
            <w:vAlign w:val="center"/>
          </w:tcPr>
          <w:p>
            <w:pPr>
              <w:pStyle w:val="TableContents"/>
              <w:bidi w:val="0"/>
              <w:spacing w:before="0" w:after="283"/>
              <w:jc w:val="left"/>
              <w:rPr/>
            </w:pPr>
            <w:r>
              <w:rPr/>
              <w:t>Item 1.</w:t>
            </w:r>
          </w:p>
        </w:tc>
        <w:tc>
          <w:tcPr>
            <w:tcW w:w="89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Name of issuer: </w:t>
            </w:r>
          </w:p>
          <w:p>
            <w:pPr>
              <w:pStyle w:val="TableContents"/>
              <w:bidi w:val="0"/>
              <w:spacing w:before="0" w:after="0"/>
              <w:jc w:val="left"/>
              <w:rPr/>
            </w:pPr>
            <w:r>
              <w:rPr/>
              <w:t>Xanadu Quantum Technologies Limited</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Bay Street Suite 2400, Toronto, A6 M5G 2C8</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2.</w:t>
            </w:r>
          </w:p>
        </w:tc>
        <w:tc>
          <w:tcPr>
            <w:tcW w:w="89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BDC Capital Inc. ("BDC") is a subsidiary of the Business Development Bank of Canada, a Crown corporation whose sole shareholder is the Government of Canada.</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 Place Ville Marie, Suite 100, Montreal, Quebec H3B 5E7, Canada</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(d)</w:t>
            </w:r>
          </w:p>
        </w:tc>
        <w:tc>
          <w:tcPr>
            <w:tcW w:w="89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Subordinate Voting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(e)</w:t>
            </w:r>
          </w:p>
        </w:tc>
        <w:tc>
          <w:tcPr>
            <w:tcW w:w="89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3.</w:t>
            </w:r>
          </w:p>
        </w:tc>
        <w:tc>
          <w:tcPr>
            <w:tcW w:w="89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(d)</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(e)</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(f)</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(g)</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(h)</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(j)</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(k)</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9141" w:type="dxa"/>
            <w:gridSpan w:val="2"/>
            <w:tcBorders/>
            <w:vAlign w:val="center"/>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4.</w:t>
            </w:r>
          </w:p>
        </w:tc>
        <w:tc>
          <w:tcPr>
            <w:tcW w:w="89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6,657,508, comprised of 6,176,160 Class B Subordinate Voting Shares held directly plus 481,348 Class B Subordinate Voting Shares issuable upon conversion of Class A Multiple Voting Shares within 60 days pursuant to Rule 13d-3(d)(1)(i), subject to the Blocker Notice.</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6,657,508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6,657,508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5.</w:t>
            </w:r>
          </w:p>
        </w:tc>
        <w:tc>
          <w:tcPr>
            <w:tcW w:w="89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6.</w:t>
            </w:r>
          </w:p>
        </w:tc>
        <w:tc>
          <w:tcPr>
            <w:tcW w:w="89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7.</w:t>
            </w:r>
          </w:p>
        </w:tc>
        <w:tc>
          <w:tcPr>
            <w:tcW w:w="89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8.</w:t>
            </w:r>
          </w:p>
        </w:tc>
        <w:tc>
          <w:tcPr>
            <w:tcW w:w="89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9.</w:t>
            </w:r>
          </w:p>
        </w:tc>
        <w:tc>
          <w:tcPr>
            <w:tcW w:w="89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BDC Capital Inc.</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Lisa To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Lisa To, VP and Lead</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center"/>
              <w:rPr>
                <w:b/>
              </w:rPr>
            </w:pPr>
            <w:r>
              <w:rPr>
                <w:b/>
              </w:rPr>
              <w:t xml:space="preserve">Exhibit Information </w:t>
            </w:r>
          </w:p>
        </w:tc>
      </w:tr>
      <w:tr>
        <w:trPr/>
        <w:tc>
          <w:tcPr>
            <w:tcW w:w="2266" w:type="dxa"/>
            <w:tcBorders/>
            <w:vAlign w:val="center"/>
          </w:tcPr>
          <w:p>
            <w:pPr>
              <w:pStyle w:val="TableContents"/>
              <w:bidi w:val="0"/>
              <w:spacing w:before="0" w:after="283"/>
              <w:jc w:val="left"/>
              <w:rPr/>
            </w:pPr>
            <w:r>
              <w:rPr/>
              <w:t>Not Applicable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4950</Characters>
  <CharactersWithSpaces>5902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