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UNITED STATES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AND EXCHANGE COMMISSION</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Washington, D.C. 20549</w:t>
      </w:r>
    </w:p>
    <w:p>
      <w:pPr>
        <w:pStyle w:val="TextBody"/>
        <w:bidi w:val="0"/>
        <w:spacing w:lineRule="auto" w:line="288" w:before="0" w:after="240"/>
        <w:jc w:val="center"/>
        <w:rPr>
          <w:rFonts w:ascii="Times New Roman;serif" w:hAnsi="Times New Roman;serif"/>
          <w:b/>
          <w:color w:val="000000"/>
          <w:sz w:val="18"/>
        </w:rPr>
      </w:pPr>
      <w:r>
        <w:rPr>
          <w:rFonts w:ascii="Times New Roman;serif" w:hAnsi="Times New Roman;serif"/>
          <w:b/>
          <w:color w:val="000000"/>
          <w:sz w:val="18"/>
        </w:rPr>
        <w:t>FORM 6-K</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Report of Foreign Private Issuer</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 Rule 13A-16 or 15D-16</w:t>
      </w:r>
    </w:p>
    <w:p>
      <w:pPr>
        <w:pStyle w:val="TextBody"/>
        <w:bidi w:val="0"/>
        <w:spacing w:lineRule="auto" w:line="288" w:before="0" w:after="240"/>
        <w:jc w:val="center"/>
        <w:rPr>
          <w:rFonts w:ascii="Times New Roman;serif" w:hAnsi="Times New Roman;serif"/>
          <w:b/>
          <w:color w:val="000000"/>
          <w:sz w:val="18"/>
        </w:rPr>
      </w:pPr>
      <w:r>
        <w:rPr>
          <w:rFonts w:ascii="Times New Roman;serif" w:hAnsi="Times New Roman;serif"/>
          <w:b/>
          <w:color w:val="000000"/>
          <w:sz w:val="18"/>
        </w:rPr>
        <w:t>of the Securities Exchange Act of 1934</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For the month of August 2026</w:t>
      </w:r>
    </w:p>
    <w:p>
      <w:pPr>
        <w:pStyle w:val="TextBody"/>
        <w:bidi w:val="0"/>
        <w:spacing w:lineRule="auto" w:line="288" w:before="0" w:after="240"/>
        <w:jc w:val="center"/>
        <w:rPr>
          <w:rFonts w:ascii="Times New Roman;serif" w:hAnsi="Times New Roman;serif"/>
          <w:b/>
          <w:color w:val="000000"/>
          <w:sz w:val="18"/>
        </w:rPr>
      </w:pPr>
      <w:r>
        <w:rPr>
          <w:rFonts w:ascii="Times New Roman;serif" w:hAnsi="Times New Roman;serif"/>
          <w:b/>
          <w:color w:val="000000"/>
          <w:sz w:val="18"/>
        </w:rPr>
        <w:t>Commission File Number: 001-43205</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Xanadu Quantum Technologies Limited</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(Translation of registrant’s name into English)</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777 Bay Street, Toronto, Ontario M5G 2C8</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p>
      <w:pPr>
        <w:pStyle w:val="TextBody"/>
        <w:bidi w:val="0"/>
        <w:spacing w:lineRule="auto" w:line="288" w:before="0" w:after="240"/>
        <w:jc w:val="left"/>
        <w:rPr>
          <w:rFonts w:ascii="Times New Roman;serif" w:hAnsi="Times New Roman;serif"/>
          <w:b w:val="false"/>
          <w:color w:val="000000"/>
          <w:sz w:val="17"/>
        </w:rPr>
      </w:pPr>
      <w:r>
        <w:rPr>
          <w:rFonts w:ascii="Times New Roman;serif" w:hAnsi="Times New Roman;serif"/>
          <w:b w:val="false"/>
          <w:color w:val="000000"/>
          <w:sz w:val="17"/>
        </w:rPr>
        <w:t>Indicate by check mark whether the registrant files or will file annual reports under cover of Form 20-F or Form 40-F.</w:t>
      </w:r>
    </w:p>
    <w:p>
      <w:pPr>
        <w:pStyle w:val="TextBody"/>
        <w:bidi w:val="0"/>
        <w:spacing w:lineRule="auto" w:line="288" w:before="0" w:after="240"/>
        <w:jc w:val="center"/>
        <w:rPr/>
      </w:pPr>
      <w:r>
        <w:rPr>
          <w:rFonts w:ascii="Times New Roman;serif" w:hAnsi="Times New Roman;serif"/>
          <w:b w:val="false"/>
          <w:color w:val="000000"/>
          <w:sz w:val="18"/>
        </w:rPr>
        <w:t xml:space="preserve">Form 20-F </w:t>
      </w:r>
      <w:r>
        <w:rPr>
          <w:rFonts w:ascii="Wingdings;sans-serif" w:hAnsi="Wingdings;sans-serif"/>
          <w:b w:val="false"/>
          <w:color w:val="000000"/>
          <w:sz w:val="18"/>
        </w:rPr>
        <w:t>x</w:t>
      </w:r>
      <w:r>
        <w:rPr>
          <w:color w:val="000000"/>
        </w:rPr>
        <w:t>    </w:t>
      </w:r>
      <w:r>
        <w:rPr>
          <w:rFonts w:ascii="Times New Roman;serif" w:hAnsi="Times New Roman;serif"/>
          <w:b w:val="false"/>
          <w:color w:val="000000"/>
          <w:sz w:val="17"/>
        </w:rPr>
        <w:t>Form 40-F</w:t>
      </w:r>
      <w:r>
        <w:rPr>
          <w:color w:val="000000"/>
        </w:rPr>
        <w:t xml:space="preserve"> </w:t>
      </w:r>
      <w:r>
        <w:rPr>
          <w:rFonts w:ascii="Wingdings;sans-serif" w:hAnsi="Wingdings;sans-serif"/>
          <w:b w:val="false"/>
          <w:color w:val="000000"/>
          <w:sz w:val="18"/>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18"/>
        </w:rPr>
      </w:pPr>
      <w:r>
        <w:rPr>
          <w:rFonts w:ascii="Times New Roman;serif" w:hAnsi="Times New Roman;serif"/>
          <w:b/>
          <w:color w:val="000000"/>
          <w:sz w:val="18"/>
        </w:rPr>
        <w:t>Signature</w:t>
      </w:r>
    </w:p>
    <w:p>
      <w:pPr>
        <w:pStyle w:val="TextBody"/>
        <w:bidi w:val="0"/>
        <w:spacing w:lineRule="auto" w:line="288" w:before="0" w:after="16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Exchange Act of 1934, the registrant has duly caused this report to be signed on its behalf by the undersigned hereunto duly authorized.</w:t>
      </w:r>
    </w:p>
    <w:tbl>
      <w:tblPr>
        <w:tblW w:w="4937" w:type="dxa"/>
        <w:jc w:val="left"/>
        <w:tblInd w:w="0" w:type="dxa"/>
        <w:tblLayout w:type="fixed"/>
        <w:tblCellMar>
          <w:top w:w="28" w:type="dxa"/>
          <w:left w:w="28" w:type="dxa"/>
          <w:bottom w:w="28" w:type="dxa"/>
          <w:right w:w="28" w:type="dxa"/>
        </w:tblCellMar>
      </w:tblPr>
      <w:tblGrid>
        <w:gridCol w:w="629"/>
        <w:gridCol w:w="552"/>
        <w:gridCol w:w="558"/>
        <w:gridCol w:w="471"/>
        <w:gridCol w:w="471"/>
        <w:gridCol w:w="471"/>
        <w:gridCol w:w="520"/>
        <w:gridCol w:w="520"/>
        <w:gridCol w:w="745"/>
      </w:tblGrid>
      <w:tr>
        <w:trPr/>
        <w:tc>
          <w:tcPr>
            <w:tcW w:w="62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Dated: August 5, 2026</w:t>
            </w:r>
          </w:p>
        </w:tc>
        <w:tc>
          <w:tcPr>
            <w:tcW w:w="31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Xanadu Quantum Technologies Limited</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Michael Trzupek</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Michael Trzupek</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18"/>
        </w:rPr>
      </w:pPr>
      <w:r>
        <w:rPr>
          <w:rFonts w:ascii="Times New Roman;serif" w:hAnsi="Times New Roman;serif"/>
          <w:b/>
          <w:color w:val="000000"/>
          <w:sz w:val="18"/>
        </w:rPr>
        <w:t>Exhibit Index</w:t>
      </w:r>
    </w:p>
    <w:tbl>
      <w:tblPr>
        <w:tblW w:w="3279" w:type="dxa"/>
        <w:jc w:val="left"/>
        <w:tblInd w:w="0" w:type="dxa"/>
        <w:tblLayout w:type="fixed"/>
        <w:tblCellMar>
          <w:top w:w="28" w:type="dxa"/>
          <w:left w:w="28" w:type="dxa"/>
          <w:bottom w:w="28" w:type="dxa"/>
          <w:right w:w="28" w:type="dxa"/>
        </w:tblCellMar>
      </w:tblPr>
      <w:tblGrid>
        <w:gridCol w:w="250"/>
        <w:gridCol w:w="220"/>
        <w:gridCol w:w="221"/>
        <w:gridCol w:w="109"/>
        <w:gridCol w:w="109"/>
        <w:gridCol w:w="109"/>
        <w:gridCol w:w="351"/>
        <w:gridCol w:w="351"/>
        <w:gridCol w:w="351"/>
        <w:gridCol w:w="351"/>
        <w:gridCol w:w="351"/>
        <w:gridCol w:w="506"/>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 of Exhibit</w:t>
            </w:r>
          </w:p>
        </w:tc>
      </w:tr>
      <w:tr>
        <w:trPr/>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00"/>
              <w:jc w:val="left"/>
              <w:rPr/>
            </w:pPr>
            <w:hyperlink w:anchor="exhibit991pressrelease-aug.htm">
              <w:r>
                <w:rPr>
                  <w:rStyle w:val="InternetLink"/>
                  <w:rFonts w:ascii="Times New Roman;serif" w:hAnsi="Times New Roman;serif"/>
                  <w:b w:val="false"/>
                  <w:color w:val="0000FF"/>
                  <w:sz w:val="20"/>
                  <w:u w:val="single"/>
                </w:rPr>
                <w:t>Q2 2026 Press Release</w:t>
              </w:r>
            </w:hyperlink>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99.2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6"/>
            <w:tcBorders/>
            <w:shd w:fill="CCEEFF" w:val="clear"/>
            <w:tcMar>
              <w:top w:w="0" w:type="dxa"/>
              <w:left w:w="0" w:type="dxa"/>
              <w:bottom w:w="0" w:type="dxa"/>
              <w:right w:w="0" w:type="dxa"/>
            </w:tcMar>
            <w:vAlign w:val="center"/>
          </w:tcPr>
          <w:p>
            <w:pPr>
              <w:pStyle w:val="TableContents"/>
              <w:bidi w:val="0"/>
              <w:spacing w:lineRule="auto" w:line="240" w:before="0" w:after="100"/>
              <w:jc w:val="left"/>
              <w:rPr/>
            </w:pPr>
            <w:hyperlink w:anchor="xndu-20260630_d2.htm">
              <w:r>
                <w:rPr>
                  <w:rStyle w:val="InternetLink"/>
                  <w:rFonts w:ascii="Times New Roman;serif" w:hAnsi="Times New Roman;serif"/>
                  <w:b w:val="false"/>
                  <w:color w:val="000080"/>
                  <w:sz w:val="20"/>
                  <w:u w:val="single"/>
                </w:rPr>
                <w:t>Q</w:t>
              </w:r>
            </w:hyperlink>
            <w:hyperlink w:anchor="xndu-20260630_d2.htm">
              <w:r>
                <w:rPr>
                  <w:rStyle w:val="InternetLink"/>
                  <w:rFonts w:ascii="Times New Roman;serif" w:hAnsi="Times New Roman;serif"/>
                  <w:b w:val="false"/>
                  <w:color w:val="000080"/>
                  <w:sz w:val="20"/>
                  <w:u w:val="single"/>
                </w:rPr>
                <w:t>2</w:t>
              </w:r>
            </w:hyperlink>
            <w:hyperlink w:anchor="xndu-20260630_d2.htm">
              <w:r>
                <w:rPr>
                  <w:rStyle w:val="InternetLink"/>
                  <w:rFonts w:ascii="Times New Roman;serif" w:hAnsi="Times New Roman;serif"/>
                  <w:b w:val="false"/>
                  <w:color w:val="000080"/>
                  <w:sz w:val="20"/>
                  <w:u w:val="single"/>
                </w:rPr>
                <w:t xml:space="preserve"> 2026 Quarterly Report</w:t>
              </w:r>
            </w:hyperlink>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120"/>
        <w:jc w:val="center"/>
        <w:rPr/>
      </w:pPr>
      <w:r>
        <w:rPr>
          <w:rFonts w:ascii="Times New Roman;serif" w:hAnsi="Times New Roman;serif"/>
          <w:b/>
          <w:color w:val="000000"/>
          <w:sz w:val="28"/>
        </w:rPr>
        <w:t>Xanadu Announces Second Quarter 2026</w:t>
      </w:r>
      <w:r>
        <w:rPr>
          <w:color w:val="000000"/>
        </w:rPr>
        <w:t xml:space="preserve"> </w:t>
      </w:r>
      <w:r>
        <w:rPr>
          <w:rFonts w:ascii="Times New Roman;serif" w:hAnsi="Times New Roman;serif"/>
          <w:b/>
          <w:color w:val="000000"/>
          <w:sz w:val="28"/>
        </w:rPr>
        <w:t>Results</w:t>
      </w:r>
    </w:p>
    <w:p>
      <w:pPr>
        <w:pStyle w:val="TextBody"/>
        <w:bidi w:val="0"/>
        <w:spacing w:lineRule="auto" w:line="288" w:before="0" w:after="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 xml:space="preserve">The Company is on a Mission to Build Quantum Computers That Are Useful and Available to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People Everywhere </w:t>
      </w:r>
    </w:p>
    <w:p>
      <w:pPr>
        <w:pStyle w:val="TextBody"/>
        <w:bidi w:val="0"/>
        <w:spacing w:lineRule="auto" w:line="288" w:before="300" w:after="120"/>
        <w:jc w:val="both"/>
        <w:rPr>
          <w:rFonts w:ascii="Times New Roman;serif" w:hAnsi="Times New Roman;serif"/>
          <w:b w:val="false"/>
          <w:color w:val="000000"/>
          <w:sz w:val="20"/>
        </w:rPr>
      </w:pPr>
      <w:r>
        <w:rPr>
          <w:rFonts w:ascii="Times New Roman;serif" w:hAnsi="Times New Roman;serif"/>
          <w:b w:val="false"/>
          <w:color w:val="000000"/>
          <w:sz w:val="20"/>
        </w:rPr>
        <w:t>TORONTO | August 5, 2026 /GLOBE NEWSWIRE/ -- Xanadu Quantum Technologies Limited ("Xanadu" or the "Company") (NASDAQ: XNDU) (TSX: XNDU), a leading photonic quantum computing company, today announced financial results for the second quarter ended June 30, 2026.</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"Every decision at Xanadu comes back to one mission: building quantum computers that are useful and available to people everywhere," said Dr. Christian Weedbrook, Founder and Chief Executive Officer of Xanadu. "This quarter, we made real progress on that mission. We set new performance records across some of our core photonic components, and we're pairing that hardware progress with software breakthroughs that we believe make quantum algorithms more efficient today."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ended the quarter in a strong financial position, with $312.8 million of cash on hand," said Michael Trzupek, Chief Financial Officer of Xanadu. "That balance sheet gives us the runway to keep investing in the engineering talent and wafer capacity our roadmap requires. During the quarter we raised $67.2 million under our synthetic at-the-market facility with Yorkville Advisors, and we intend to remain disciplined, drawing on that facility only when we believe conditions are favorable to the Company, including its shareholders."</w:t>
      </w:r>
    </w:p>
    <w:p>
      <w:pPr>
        <w:pStyle w:val="TextBody"/>
        <w:bidi w:val="0"/>
        <w:spacing w:lineRule="auto" w:line="288" w:before="120" w:after="120"/>
        <w:jc w:val="both"/>
        <w:rPr>
          <w:rFonts w:ascii="Times New Roman;serif" w:hAnsi="Times New Roman;serif"/>
          <w:b/>
          <w:color w:val="000000"/>
          <w:sz w:val="22"/>
        </w:rPr>
      </w:pPr>
      <w:r>
        <w:rPr>
          <w:rFonts w:ascii="Times New Roman;serif" w:hAnsi="Times New Roman;serif"/>
          <w:b/>
          <w:color w:val="000000"/>
          <w:sz w:val="22"/>
        </w:rPr>
        <w:t>Second Quarter Business Milestones and Announcements</w:t>
      </w:r>
    </w:p>
    <w:p>
      <w:pPr>
        <w:pStyle w:val="TextBody"/>
        <w:bidi w:val="0"/>
        <w:spacing w:lineRule="auto" w:line="321" w:before="0" w:after="160"/>
        <w:ind w:left="0" w:right="0" w:hanging="360"/>
        <w:jc w:val="both"/>
        <w:rPr/>
      </w:pPr>
      <w:r>
        <w:rPr>
          <w:color w:val="000000"/>
        </w:rPr>
        <w:t>•</w:t>
      </w:r>
      <w:r>
        <w:rPr>
          <w:rFonts w:ascii="Times New Roman;serif" w:hAnsi="Times New Roman;serif"/>
          <w:b/>
          <w:color w:val="000000"/>
          <w:sz w:val="20"/>
        </w:rPr>
        <w:t>Chip packaging and fabrication:</w:t>
      </w:r>
      <w:r>
        <w:rPr>
          <w:color w:val="000000"/>
        </w:rPr>
        <w:t xml:space="preserve"> </w:t>
      </w:r>
      <w:r>
        <w:rPr>
          <w:rFonts w:ascii="Times New Roman;serif" w:hAnsi="Times New Roman;serif"/>
          <w:b w:val="false"/>
          <w:color w:val="000000"/>
          <w:sz w:val="20"/>
        </w:rPr>
        <w:t>Achieved an average edge-coupling loss of 0.085 dB per facet, supported by the Company's internal packaging facility and collaborations with Corning and DISCO, and increased foundry fabrication runs across its two core material platforms: thin-film lithium niobate (up approximately 75%) and silicon nitride (up approximately 50%).</w:t>
      </w:r>
    </w:p>
    <w:p>
      <w:pPr>
        <w:pStyle w:val="TextBody"/>
        <w:bidi w:val="0"/>
        <w:spacing w:lineRule="auto" w:line="288" w:before="120" w:after="120"/>
        <w:ind w:left="0" w:right="0" w:hanging="360"/>
        <w:jc w:val="both"/>
        <w:rPr/>
      </w:pPr>
      <w:r>
        <w:rPr>
          <w:color w:val="000000"/>
        </w:rPr>
        <w:t>•</w:t>
      </w:r>
      <w:r>
        <w:rPr>
          <w:rFonts w:ascii="Times New Roman;serif" w:hAnsi="Times New Roman;serif"/>
          <w:b/>
          <w:color w:val="000000"/>
          <w:sz w:val="20"/>
        </w:rPr>
        <w:t xml:space="preserve">U.S. operations expansion: </w:t>
      </w:r>
      <w:r>
        <w:rPr>
          <w:rFonts w:ascii="Times New Roman;serif" w:hAnsi="Times New Roman;serif"/>
          <w:b w:val="false"/>
          <w:color w:val="000000"/>
          <w:sz w:val="20"/>
        </w:rPr>
        <w:t>Announced a significant expansion of U.S. operations anchored in Albany, New York; U.S. headcount has grown more than five-fold since 2023, with further growth expected by year-end.</w:t>
      </w:r>
    </w:p>
    <w:p>
      <w:pPr>
        <w:pStyle w:val="TextBody"/>
        <w:bidi w:val="0"/>
        <w:spacing w:lineRule="auto" w:line="288" w:before="120" w:after="120"/>
        <w:ind w:left="0" w:right="0" w:hanging="360"/>
        <w:jc w:val="both"/>
        <w:rPr/>
      </w:pPr>
      <w:r>
        <w:rPr>
          <w:color w:val="000000"/>
        </w:rPr>
        <w:t>•</w:t>
      </w:r>
      <w:r>
        <w:rPr>
          <w:rFonts w:ascii="Times New Roman;serif" w:hAnsi="Times New Roman;serif"/>
          <w:b/>
          <w:color w:val="000000"/>
          <w:sz w:val="20"/>
        </w:rPr>
        <w:t>Software and algorithm advancements:</w:t>
      </w:r>
      <w:r>
        <w:rPr>
          <w:color w:val="000000"/>
        </w:rPr>
        <w:t xml:space="preserve"> </w:t>
      </w:r>
      <w:r>
        <w:rPr>
          <w:rFonts w:ascii="Times New Roman;serif" w:hAnsi="Times New Roman;serif"/>
          <w:b w:val="false"/>
          <w:color w:val="000000"/>
          <w:sz w:val="20"/>
        </w:rPr>
        <w:t>Published an algorithmic breakthrough in Quantum Read-Only Memory (QROM) that cuts required Toffoli gate operations by roughly half, patent-filed and available today in PennyLane; also trained a Fourier-based quantum machine-learning model with over one million parameters, large enough to learn the distribution of ribosomal RNA.</w:t>
      </w:r>
    </w:p>
    <w:p>
      <w:pPr>
        <w:pStyle w:val="TextBody"/>
        <w:bidi w:val="0"/>
        <w:spacing w:lineRule="auto" w:line="321" w:before="0" w:after="160"/>
        <w:ind w:left="0" w:right="0" w:hanging="360"/>
        <w:jc w:val="both"/>
        <w:rPr/>
      </w:pPr>
      <w:r>
        <w:rPr>
          <w:color w:val="000000"/>
        </w:rPr>
        <w:t>•</w:t>
      </w:r>
      <w:r>
        <w:rPr>
          <w:rFonts w:ascii="Times New Roman;serif" w:hAnsi="Times New Roman;serif"/>
          <w:b/>
          <w:color w:val="000000"/>
          <w:sz w:val="20"/>
        </w:rPr>
        <w:t>PennyLane momentum:</w:t>
      </w:r>
      <w:r>
        <w:rPr>
          <w:color w:val="000000"/>
        </w:rPr>
        <w:t xml:space="preserve"> </w:t>
      </w:r>
      <w:r>
        <w:rPr>
          <w:rFonts w:ascii="Times New Roman;serif" w:hAnsi="Times New Roman;serif"/>
          <w:b w:val="false"/>
          <w:color w:val="000000"/>
          <w:sz w:val="20"/>
        </w:rPr>
        <w:t>Shipped PennyLane 0.45 and Catalyst 0.15; the foundational PennyLane white paper surpassed 2,000 citations.</w:t>
      </w:r>
    </w:p>
    <w:p>
      <w:pPr>
        <w:pStyle w:val="TextBody"/>
        <w:bidi w:val="0"/>
        <w:spacing w:lineRule="auto" w:line="321" w:before="0" w:after="160"/>
        <w:ind w:left="0" w:right="0" w:hanging="360"/>
        <w:jc w:val="both"/>
        <w:rPr/>
      </w:pPr>
      <w:r>
        <w:rPr>
          <w:color w:val="000000"/>
        </w:rPr>
        <w:t>•</w:t>
      </w:r>
      <w:r>
        <w:rPr>
          <w:rFonts w:ascii="Times New Roman;serif" w:hAnsi="Times New Roman;serif"/>
          <w:b/>
          <w:color w:val="000000"/>
          <w:sz w:val="20"/>
        </w:rPr>
        <w:t xml:space="preserve">Strategic collaborations and partnerships: </w:t>
      </w:r>
      <w:r>
        <w:rPr>
          <w:rFonts w:ascii="Times New Roman;serif" w:hAnsi="Times New Roman;serif"/>
          <w:b w:val="false"/>
          <w:color w:val="000000"/>
          <w:sz w:val="20"/>
        </w:rPr>
        <w:t xml:space="preserve">Partnered with Oak Ridge National Laboratory to bring PennyLane onto the Frontier exascale supercomputer; re-signed a multi-year collaboration with Rolls-Royce on computational fluid dynamics and aerodynamics; and continued research with the Fidelity Center for Applied Technology (FCAT), alongside advanced-stage engagements with several major banks. Launched a joint quantum machine learning and workforce-training initiative with Lockheed Martin under its Quantum Talent Pipeline; deepened engagement with Los Alamos National Laboratory's 2026 Summer School; and joined the Unitary Foundation. </w:t>
      </w:r>
    </w:p>
    <w:p>
      <w:pPr>
        <w:pStyle w:val="TextBody"/>
        <w:bidi w:val="0"/>
        <w:spacing w:lineRule="auto" w:line="288" w:before="120" w:after="120"/>
        <w:jc w:val="both"/>
        <w:rPr/>
      </w:pPr>
      <w:r>
        <w:rPr>
          <w:rFonts w:ascii="Times New Roman;serif" w:hAnsi="Times New Roman;serif"/>
          <w:b/>
          <w:color w:val="000000"/>
          <w:sz w:val="22"/>
        </w:rPr>
        <w:t>Second Quarter Financial Highlights</w:t>
      </w:r>
      <w:r>
        <w:rPr>
          <w:color w:val="000000"/>
        </w:rPr>
        <w:t xml:space="preserve"> </w:t>
      </w:r>
      <w:r>
        <w:rPr>
          <w:rFonts w:ascii="Times New Roman;serif" w:hAnsi="Times New Roman;serif"/>
          <w:b w:val="false"/>
          <w:color w:val="000000"/>
          <w:sz w:val="13"/>
        </w:rPr>
        <w:t>(1)</w:t>
      </w:r>
    </w:p>
    <w:p>
      <w:pPr>
        <w:pStyle w:val="TextBody"/>
        <w:bidi w:val="0"/>
        <w:spacing w:lineRule="auto" w:line="321" w:before="0" w:after="160"/>
        <w:ind w:left="0" w:right="0" w:hanging="360"/>
        <w:jc w:val="left"/>
        <w:rPr/>
      </w:pPr>
      <w:r>
        <w:rPr>
          <w:color w:val="000000"/>
        </w:rPr>
        <w:t>•</w:t>
      </w:r>
      <w:r>
        <w:rPr>
          <w:rFonts w:ascii="Times New Roman;serif" w:hAnsi="Times New Roman;serif"/>
          <w:b w:val="false"/>
          <w:color w:val="000000"/>
          <w:sz w:val="20"/>
        </w:rPr>
        <w:t>Cash and cash equivalents were $312.8 million as of June 30, 2026</w:t>
      </w:r>
    </w:p>
    <w:p>
      <w:pPr>
        <w:pStyle w:val="TextBody"/>
        <w:bidi w:val="0"/>
        <w:spacing w:lineRule="auto" w:line="321" w:before="0" w:after="160"/>
        <w:ind w:left="0" w:right="0" w:hanging="360"/>
        <w:jc w:val="both"/>
        <w:rPr/>
      </w:pPr>
      <w:r>
        <w:rPr>
          <w:color w:val="000000"/>
        </w:rPr>
        <w:t>•</w:t>
      </w:r>
      <w:r>
        <w:rPr>
          <w:rFonts w:ascii="Times New Roman;serif" w:hAnsi="Times New Roman;serif"/>
          <w:b w:val="false"/>
          <w:color w:val="000000"/>
          <w:sz w:val="20"/>
        </w:rPr>
        <w:t>Revenue was $1.5 million, compared to $2.8 million in the first quarter of 2026 and $1.1 million in the second quarter of 2025, with the year-over-year increase primarily driven by DARPA Stage B revenue</w:t>
      </w:r>
    </w:p>
    <w:p>
      <w:pPr>
        <w:pStyle w:val="TextBody"/>
        <w:bidi w:val="0"/>
        <w:spacing w:lineRule="auto" w:line="321" w:before="0" w:after="160"/>
        <w:ind w:left="0" w:right="0" w:hanging="360"/>
        <w:jc w:val="both"/>
        <w:rPr/>
      </w:pPr>
      <w:r>
        <w:rPr>
          <w:color w:val="000000"/>
        </w:rPr>
        <w:t>•</w:t>
      </w:r>
      <w:r>
        <w:rPr>
          <w:rFonts w:ascii="Times New Roman;serif" w:hAnsi="Times New Roman;serif"/>
          <w:b w:val="false"/>
          <w:color w:val="000000"/>
          <w:sz w:val="20"/>
        </w:rPr>
        <w:t>Research and development ("R&amp;D") expense was $19.7 million, an increase of $2.4 million from the first quarter of 2026, primarily reflecting increased spending on engineering hires</w:t>
      </w:r>
    </w:p>
    <w:p>
      <w:pPr>
        <w:pStyle w:val="TextBody"/>
        <w:bidi w:val="0"/>
        <w:spacing w:before="0" w:after="16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0" w:after="160"/>
        <w:ind w:left="0" w:right="0" w:hanging="360"/>
        <w:jc w:val="both"/>
        <w:rPr/>
      </w:pPr>
      <w:r>
        <w:rPr>
          <w:color w:val="000000"/>
        </w:rPr>
        <w:t>•</w:t>
      </w:r>
      <w:r>
        <w:rPr>
          <w:rFonts w:ascii="Times New Roman;serif" w:hAnsi="Times New Roman;serif"/>
          <w:b w:val="false"/>
          <w:color w:val="000000"/>
          <w:sz w:val="20"/>
        </w:rPr>
        <w:t>General and administrative ("G&amp;A") expense was approximately $11.1 million, compared to $9.8 million in the prior quarter, primarily due to higher headcount, stock-based compensation, and capital market and public-company related professional costs</w:t>
      </w:r>
    </w:p>
    <w:p>
      <w:pPr>
        <w:pStyle w:val="TextBody"/>
        <w:bidi w:val="0"/>
        <w:spacing w:lineRule="auto" w:line="321" w:before="0" w:after="160"/>
        <w:ind w:left="0" w:right="0" w:hanging="360"/>
        <w:jc w:val="both"/>
        <w:rPr/>
      </w:pPr>
      <w:r>
        <w:rPr>
          <w:color w:val="000000"/>
        </w:rPr>
        <w:t>•</w:t>
      </w:r>
      <w:r>
        <w:rPr>
          <w:rFonts w:ascii="Times New Roman;serif" w:hAnsi="Times New Roman;serif"/>
          <w:b w:val="false"/>
          <w:color w:val="000000"/>
          <w:sz w:val="20"/>
        </w:rPr>
        <w:t>Net loss was $42.1 million, compared to a loss of $20.6 million in the first quarter of 2026</w:t>
      </w:r>
    </w:p>
    <w:p>
      <w:pPr>
        <w:pStyle w:val="TextBody"/>
        <w:bidi w:val="0"/>
        <w:spacing w:lineRule="auto" w:line="321" w:before="0" w:after="160"/>
        <w:ind w:left="0" w:right="0" w:hanging="360"/>
        <w:jc w:val="both"/>
        <w:rPr/>
      </w:pPr>
      <w:r>
        <w:rPr>
          <w:color w:val="000000"/>
        </w:rPr>
        <w:t>•</w:t>
      </w:r>
      <w:r>
        <w:rPr>
          <w:rFonts w:ascii="Times New Roman;serif" w:hAnsi="Times New Roman;serif"/>
          <w:b w:val="false"/>
          <w:color w:val="000000"/>
          <w:sz w:val="20"/>
        </w:rPr>
        <w:t>Adjusted EBITDA</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loss was $21.3 million, compared to a loss of $13.9 million in the first quarter of 2026, primarily due to increased R&amp;D, G&amp;A, and lower grant revenue in the quarter</w:t>
      </w:r>
    </w:p>
    <w:p>
      <w:pPr>
        <w:pStyle w:val="TextBody"/>
        <w:bidi w:val="0"/>
        <w:spacing w:lineRule="auto" w:line="321" w:before="0" w:after="160"/>
        <w:ind w:left="0" w:right="0" w:hanging="360"/>
        <w:jc w:val="both"/>
        <w:rPr/>
      </w:pPr>
      <w:r>
        <w:rPr>
          <w:color w:val="000000"/>
        </w:rPr>
        <w:t>•</w:t>
      </w:r>
      <w:r>
        <w:rPr>
          <w:rFonts w:ascii="Times New Roman;serif" w:hAnsi="Times New Roman;serif"/>
          <w:b w:val="false"/>
          <w:color w:val="000000"/>
          <w:sz w:val="20"/>
        </w:rPr>
        <w:t>Capital expenditures increased to approximately $6.4 million in the quarter, compared to $0.3 million in the first quarter of 2026</w:t>
      </w:r>
    </w:p>
    <w:p>
      <w:pPr>
        <w:pStyle w:val="TextBody"/>
        <w:bidi w:val="0"/>
        <w:spacing w:lineRule="auto" w:line="321" w:before="0" w:after="16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All financial figures in this release are presented in United States Dollars unless otherwise noted.</w:t>
      </w:r>
    </w:p>
    <w:p>
      <w:pPr>
        <w:pStyle w:val="TextBody"/>
        <w:bidi w:val="0"/>
        <w:spacing w:lineRule="auto" w:line="321" w:before="0" w:after="16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Adjusted EBITDA is a non-GAAP financial measure defined under “Non-GAAP Financial Measures,” below.</w:t>
      </w:r>
    </w:p>
    <w:p>
      <w:pPr>
        <w:pStyle w:val="TextBody"/>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Note: Components may not sum to totals due to rounding.</w:t>
      </w:r>
    </w:p>
    <w:p>
      <w:pPr>
        <w:pStyle w:val="TextBody"/>
        <w:bidi w:val="0"/>
        <w:spacing w:lineRule="auto" w:line="288" w:before="120" w:after="120"/>
        <w:jc w:val="both"/>
        <w:rPr>
          <w:rFonts w:ascii="Times New Roman;serif" w:hAnsi="Times New Roman;serif"/>
          <w:b/>
          <w:color w:val="000000"/>
          <w:sz w:val="22"/>
        </w:rPr>
      </w:pPr>
      <w:r>
        <w:rPr>
          <w:rFonts w:ascii="Times New Roman;serif" w:hAnsi="Times New Roman;serif"/>
          <w:b/>
          <w:color w:val="000000"/>
          <w:sz w:val="22"/>
        </w:rPr>
        <w:t>Synthetic At-The-Market Equity Facility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May 2026, Xanadu entered into a Standby Equity Purchase Agreement with Yorkville Advisors, establishing a synthetic at-the-market equity facility for up to $300 million. The facility gives the Company the flexibility, but not the obligation, to issue Class B subordinate voting shares to Yorkville over a three-year term, opportunistically, based on market conditions and valuation. During the second quarter, the Company raised $67.2 million under the facility, selling 5.5 million shares at an average net price of $12.28. Net proceeds are used for working capital and general corporate purposes, which help fund the continued development of the Company's quantum computing technology roadmap.</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intends to remain disciplined and strategic in its use of the facility, drawing on it only when it believes market conditions and valuation are favorable to the Company and its shareholders. The Company continues to expect to provide more detailed engineering and spending guidance metrics later this summer, as previously indicated.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This press release does not constitute an offer to sell securities, nor is it a solicitation of an offer to buy securities, in any jurisdiction in which such offer or solicitation is unlawful.</w:t>
      </w:r>
    </w:p>
    <w:p>
      <w:pPr>
        <w:pStyle w:val="TextBody"/>
        <w:bidi w:val="0"/>
        <w:spacing w:lineRule="auto" w:line="288" w:before="120" w:after="120"/>
        <w:jc w:val="left"/>
        <w:rPr>
          <w:rFonts w:ascii="Times New Roman;serif" w:hAnsi="Times New Roman;serif"/>
          <w:b/>
          <w:color w:val="000000"/>
          <w:sz w:val="22"/>
        </w:rPr>
      </w:pPr>
      <w:r>
        <w:rPr>
          <w:rFonts w:ascii="Times New Roman;serif" w:hAnsi="Times New Roman;serif"/>
          <w:b/>
          <w:color w:val="000000"/>
          <w:sz w:val="22"/>
        </w:rPr>
        <w:t>Second Quarter 2026 Conference Call</w:t>
      </w:r>
    </w:p>
    <w:p>
      <w:pPr>
        <w:pStyle w:val="TextBody"/>
        <w:bidi w:val="0"/>
        <w:spacing w:lineRule="auto" w:line="321" w:before="0" w:after="160"/>
        <w:jc w:val="both"/>
        <w:rPr/>
      </w:pPr>
      <w:r>
        <w:rPr>
          <w:rFonts w:ascii="Times New Roman;serif" w:hAnsi="Times New Roman;serif"/>
          <w:b w:val="false"/>
          <w:color w:val="000000"/>
          <w:sz w:val="20"/>
        </w:rPr>
        <w:t xml:space="preserve">Xanadu will host a conference call today, August 5, 2026, with Dr. Christian Weedbrook, Founder and Chief Executive Officer, Michael Trzupek, Chief Financial Officer, and Rafal Janik, Chief Operating Officer to discuss the results and business outlook. The call will be webcast live and archived on the Investor Relations section of the Company's website at </w:t>
      </w:r>
      <w:r>
        <w:rPr>
          <w:rFonts w:ascii="Times New Roman;serif" w:hAnsi="Times New Roman;serif"/>
          <w:b w:val="false"/>
          <w:color w:val="3051F2"/>
          <w:sz w:val="20"/>
        </w:rPr>
        <w:t>investors.xanadu.ai</w:t>
      </w:r>
      <w:r>
        <w:rPr>
          <w:rFonts w:ascii="Times New Roman;serif" w:hAnsi="Times New Roman;serif"/>
          <w:b w:val="false"/>
          <w:color w:val="000000"/>
          <w:sz w:val="20"/>
        </w:rPr>
        <w:t xml:space="preserve">. </w:t>
      </w:r>
    </w:p>
    <w:p>
      <w:pPr>
        <w:pStyle w:val="TextBody"/>
        <w:bidi w:val="0"/>
        <w:spacing w:lineRule="auto" w:line="288" w:before="120" w:after="120"/>
        <w:jc w:val="both"/>
        <w:rPr>
          <w:rFonts w:ascii="Times New Roman;serif" w:hAnsi="Times New Roman;serif"/>
          <w:b/>
          <w:color w:val="000000"/>
          <w:sz w:val="22"/>
        </w:rPr>
      </w:pPr>
      <w:r>
        <w:rPr>
          <w:rFonts w:ascii="Times New Roman;serif" w:hAnsi="Times New Roman;serif"/>
          <w:b/>
          <w:color w:val="000000"/>
          <w:sz w:val="22"/>
        </w:rPr>
        <w:t>About Xanadu</w:t>
      </w:r>
    </w:p>
    <w:p>
      <w:pPr>
        <w:pStyle w:val="TextBody"/>
        <w:bidi w:val="0"/>
        <w:spacing w:lineRule="auto" w:line="288" w:before="120" w:after="120"/>
        <w:jc w:val="both"/>
        <w:rPr/>
      </w:pPr>
      <w:r>
        <w:rPr>
          <w:rFonts w:ascii="Times New Roman;serif" w:hAnsi="Times New Roman;serif"/>
          <w:b w:val="false"/>
          <w:color w:val="000000"/>
          <w:sz w:val="22"/>
        </w:rPr>
        <w:t>Founded</w:t>
      </w:r>
      <w:r>
        <w:rPr>
          <w:color w:val="000000"/>
        </w:rPr>
        <w:t xml:space="preserve"> </w:t>
      </w:r>
      <w:r>
        <w:rPr>
          <w:rFonts w:ascii="Times New Roman;serif" w:hAnsi="Times New Roman;serif"/>
          <w:b w:val="false"/>
          <w:color w:val="000000"/>
          <w:sz w:val="20"/>
        </w:rPr>
        <w:t xml:space="preserve">in 2016, Xanadu is a Canadian photonic quantum computing company with the mission to build quantum computers that are useful and available to people everywhere. Xanadu is building fault-tolerant quantum computers using light, with systems designed to compute at room temperature. Xanadu develops both hardware and software, including PennyLane, its open-source quantum computing platform. Xanadu is the first pure-play photonic quantum computing company to list on public markets (Nasdaq/TSX: XNDU) and is recognized globally for its breakthroughs in scalable quantum technologies. Visit </w:t>
      </w:r>
      <w:r>
        <w:rPr>
          <w:rFonts w:ascii="Times New Roman;serif" w:hAnsi="Times New Roman;serif"/>
          <w:b w:val="false"/>
          <w:color w:val="3051F2"/>
          <w:sz w:val="20"/>
        </w:rPr>
        <w:t>xanadu.ai</w:t>
      </w:r>
      <w:r>
        <w:rPr>
          <w:color w:val="000000"/>
        </w:rPr>
        <w:t xml:space="preserve"> </w:t>
      </w:r>
      <w:r>
        <w:rPr>
          <w:rFonts w:ascii="Times New Roman;serif" w:hAnsi="Times New Roman;serif"/>
          <w:b w:val="false"/>
          <w:color w:val="000000"/>
          <w:sz w:val="20"/>
        </w:rPr>
        <w:t xml:space="preserve">or follow us on X </w:t>
      </w:r>
      <w:r>
        <w:rPr>
          <w:rFonts w:ascii="Times New Roman;serif" w:hAnsi="Times New Roman;serif"/>
          <w:b w:val="false"/>
          <w:color w:val="3051F2"/>
          <w:sz w:val="20"/>
        </w:rPr>
        <w:t>@XanaduAI</w:t>
      </w:r>
      <w:r>
        <w:rPr>
          <w:rFonts w:ascii="Times New Roman;serif" w:hAnsi="Times New Roman;serif"/>
          <w:b w:val="false"/>
          <w:color w:val="000000"/>
          <w:sz w:val="20"/>
        </w:rPr>
        <w:t>.</w:t>
      </w:r>
    </w:p>
    <w:p>
      <w:pPr>
        <w:pStyle w:val="TextBody"/>
        <w:bidi w:val="0"/>
        <w:spacing w:lineRule="auto" w:line="288" w:before="120" w:after="120"/>
        <w:jc w:val="both"/>
        <w:rPr>
          <w:rFonts w:ascii="Times New Roman;serif" w:hAnsi="Times New Roman;serif"/>
          <w:b/>
          <w:color w:val="000000"/>
          <w:sz w:val="22"/>
        </w:rPr>
      </w:pPr>
      <w:r>
        <w:rPr>
          <w:rFonts w:ascii="Times New Roman;serif" w:hAnsi="Times New Roman;serif"/>
          <w:b/>
          <w:color w:val="000000"/>
          <w:sz w:val="22"/>
        </w:rPr>
        <w:t xml:space="preserve">Non-GAAP Financial Measures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To supplement our historical consolidated financial statements, which are prepared and presented in accordance with U.S. GAAP, we use Adjusted EBITDA, a non-GAAP financial measure, to understand and evaluate our financial and operating performance.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Adjusted EBITDA as net loss before interest expense, income tax expense (benefit), depreciation and amortization expense, stock-based compensation, change in fair value of financial instruments, and other income and </w:t>
      </w: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non-recurring expenses. We use Adjusted EBITDA to measure the operating performance of our business, excluding specifically identified items that we do not believe directly reflect our core operations and may not be indicative of our recurring operations. By excluding certain items that are non-recurring or not reflective of the performance of our normal course of business, we believe that Adjusted EBITDA provides meaningful supplemental information regarding our performance. Accordingly, we believe that Adjusted EBITDA is useful to investors and others because it allows investors to supplement their understanding of our financial trends and evaluate our ongoing and future performance in the same manner as management.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However, there are several limitations related to the use of Adjusted EBITDA as it reflects the exercise of judgement by our management about which expenses are excluded or included. Adjusted EBITDA should be considered in addition to, not as a substitute for or in isolation from, our financial results prepared in accordance with GAAP. Adjusted EBITDA is not a standardized measure and our presentation of Adjusted EBITDA may differ from how such a metric is used by other companies. A reconciliation of Adjusted EBITDA to net loss, the most directly comparable GAAP measure, is provided below. </w:t>
      </w:r>
    </w:p>
    <w:p>
      <w:pPr>
        <w:pStyle w:val="TextBody"/>
        <w:bidi w:val="0"/>
        <w:spacing w:lineRule="auto" w:line="288" w:before="120" w:after="120"/>
        <w:jc w:val="both"/>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This press release contains “forward-looking statements” within the meaning of the U.S. federal securities laws and “forward-looking information” within the meaning of applicable Canadian securities laws (collectively, “forward-looking statements”). Forward-looking statements may be identified by the use of words such as “estimate,” “plan,” “project,” “forecast,” “intend,” “will,” “expect,” “anticipate,” “believe,” “seek,” “target,” “continue,” “could,” “may,” “might,” “possible,” “potential,” “predict” or similar expressions that predict or indicate future events or trends or that are not statements of historical matters. We have based these forward-looking statements on current expectations and projections about future events.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These statements include: Xanadu's mission and technology roadmap, including its path toward fault-tolerant, utility-scale quantum computing; expectations regarding R&amp;D and capital spending, including the timing and pace of wafer runs, tapeouts, and engineering hires; the Company's plans to provide more detailed engineering and spending guidance later in the summer; expectations regarding strategic collaborations and partnerships, including with Lockheed Martin, Los Alamos National Laboratory, the Unitary Foundation, Oak Ridge National Laboratory, Rolls-Royce, the Fidelity Center for Applied Technology, and other financial institutions; the anticipated benefits, use of proceeds, and Company's approach to the synthetic at-the-market equity facility with Yorkville Advisors, including expectations regarding dilution and the Company's cash position; and the continued growth of the Company's U.S. operations, including in Albany, New York.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These forward-looking statements are provided for illustrative purposes only and are not intended to serve as, and must not be relied on as, a guarantee, an assurance, a prediction, or a definitive statement of fact or probability. Actual events and circumstances are difficult or impossible to predict and will differ from assumptions, many of which are beyond the control of Xanadu. These forward-looking statements are subject to known and unknown risks, uncertainties and assumptions that may cause the Company’s actual results, levels of activity, performance or achievements to be materially different from any future results, levels of activity, performance or achievements expressed or implied by such statements. Such risks and uncertainties include: that Xanadu is pursuing an emerging technology, faces significant technical challenges, and may not achieve commercialization or market acceptance; Xanadu's historical net losses and limited operating history; Xanadu's expectations regarding future financial performance and capital requirements; Xanadu's competitive landscape; Xanadu's dependence on members of its senior management and its ability to attract and retain qualified personnel; the potential need for additional future financing; Xanadu's reliance on strategic partners and other third parties; Xanadu's concentration of revenue in contracts with government or state-funded entities; Xanadu's ability to maintain, protect, and defend its intellectual property rights; risks related to the equity line of credit, including the potential for substantial dilution to existing shareholders; and other factors described in the Company's filings with the U.S. Securities and Exchange Commission (the “SEC”) and the Canadian Securities Administrators (the “CSA”), which are incorporated by reference herein. These forward-looking statements are based on certain assumptions, including that none of the risks identified above materialize; that there are no unforeseen changes to economic and market conditions, and that no significant events occur outside the ordinary course of business. Additional information concerning these and other factors that may impact such forward-looking statements can be found in filings by the Company with the SEC and the CSA, including </w:t>
      </w:r>
    </w:p>
    <w:p>
      <w:pPr>
        <w:pStyle w:val="TextBody"/>
        <w:bidi w:val="0"/>
        <w:spacing w:before="0" w:after="16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under the heading “Risk Factors.” If any of these risks materialize or assumptions prove incorrect, actual results could differ materially from the results implied by these forward-looking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These forward-looking statements reflect the expectations, plans, and forecasts of Xanadu's management as of the date of this press release; subsequent events and developments may cause their assessments to change. While Xanadu may elect to update these forward-looking statements at some point in the future, it specifically disclaims any obligation to do so, unless required by applicable securities laws. Accordingly, undue reliance should not be placed upon these statements.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Summary financial tables follow. </w:t>
      </w:r>
    </w:p>
    <w:p>
      <w:pPr>
        <w:pStyle w:val="TextBody"/>
        <w:bidi w:val="0"/>
        <w:spacing w:lineRule="auto" w:line="288" w:before="120" w:after="120"/>
        <w:jc w:val="both"/>
        <w:rPr>
          <w:rFonts w:ascii="Times New Roman;serif" w:hAnsi="Times New Roman;serif"/>
          <w:b/>
          <w:color w:val="000000"/>
          <w:sz w:val="22"/>
        </w:rPr>
      </w:pPr>
      <w:r>
        <w:rPr>
          <w:rFonts w:ascii="Times New Roman;serif" w:hAnsi="Times New Roman;serif"/>
          <w:b/>
          <w:color w:val="000000"/>
          <w:sz w:val="22"/>
        </w:rPr>
        <w:t>Contacts</w:t>
      </w:r>
    </w:p>
    <w:p>
      <w:pPr>
        <w:pStyle w:val="TextBody"/>
        <w:bidi w:val="0"/>
        <w:spacing w:lineRule="auto" w:line="288" w:before="120" w:after="120"/>
        <w:jc w:val="both"/>
        <w:rPr/>
      </w:pPr>
      <w:r>
        <w:rPr>
          <w:rFonts w:ascii="Times New Roman;serif" w:hAnsi="Times New Roman;serif"/>
          <w:b w:val="false"/>
          <w:color w:val="000000"/>
          <w:sz w:val="20"/>
        </w:rPr>
        <w:t xml:space="preserve">Press Contact: </w:t>
      </w:r>
      <w:r>
        <w:rPr>
          <w:rFonts w:ascii="Times New Roman;serif" w:hAnsi="Times New Roman;serif"/>
          <w:b w:val="false"/>
          <w:color w:val="3051F2"/>
          <w:sz w:val="20"/>
        </w:rPr>
        <w:t>press@xanadu.ai</w:t>
      </w:r>
    </w:p>
    <w:p>
      <w:pPr>
        <w:pStyle w:val="TextBody"/>
        <w:bidi w:val="0"/>
        <w:spacing w:lineRule="auto" w:line="288" w:before="120" w:after="120"/>
        <w:jc w:val="both"/>
        <w:rPr/>
      </w:pPr>
      <w:r>
        <w:rPr>
          <w:rFonts w:ascii="Times New Roman;serif" w:hAnsi="Times New Roman;serif"/>
          <w:b w:val="false"/>
          <w:color w:val="000000"/>
          <w:sz w:val="20"/>
        </w:rPr>
        <w:t xml:space="preserve">Investor Relations: </w:t>
      </w:r>
      <w:r>
        <w:rPr>
          <w:rFonts w:ascii="Times New Roman;serif" w:hAnsi="Times New Roman;serif"/>
          <w:b w:val="false"/>
          <w:color w:val="3051F2"/>
          <w:sz w:val="20"/>
        </w:rPr>
        <w:t>investors@xanadu.ai</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Brett Harriss, Vice President, Investor Relations, Xanadu Quantum Technologies Ltd.</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21" w:before="0" w:after="0"/>
        <w:jc w:val="center"/>
        <w:rPr>
          <w:rFonts w:ascii="Times New Roman;serif" w:hAnsi="Times New Roman;serif"/>
          <w:b/>
          <w:color w:val="000000"/>
          <w:sz w:val="20"/>
        </w:rPr>
      </w:pPr>
      <w:r>
        <w:rPr>
          <w:rFonts w:ascii="Times New Roman;serif" w:hAnsi="Times New Roman;serif"/>
          <w:b/>
          <w:color w:val="000000"/>
          <w:sz w:val="20"/>
        </w:rPr>
        <w:t>XANADU QUANTUM TECHNOLOGIES LIMITED</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11.9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Balance Sheets </w:t>
      </w:r>
    </w:p>
    <w:p>
      <w:pPr>
        <w:pStyle w:val="TextBody"/>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(In US $ thousands, except for share amounts)</w:t>
      </w:r>
    </w:p>
    <w:tbl>
      <w:tblPr>
        <w:tblW w:w="10205" w:type="dxa"/>
        <w:jc w:val="center"/>
        <w:tblInd w:w="0" w:type="dxa"/>
        <w:tblLayout w:type="fixed"/>
        <w:tblCellMar>
          <w:top w:w="28" w:type="dxa"/>
          <w:left w:w="28" w:type="dxa"/>
          <w:bottom w:w="28" w:type="dxa"/>
          <w:right w:w="28" w:type="dxa"/>
        </w:tblCellMar>
      </w:tblPr>
      <w:tblGrid>
        <w:gridCol w:w="2822"/>
        <w:gridCol w:w="2296"/>
        <w:gridCol w:w="2236"/>
        <w:gridCol w:w="196"/>
        <w:gridCol w:w="736"/>
        <w:gridCol w:w="109"/>
        <w:gridCol w:w="109"/>
        <w:gridCol w:w="109"/>
        <w:gridCol w:w="109"/>
        <w:gridCol w:w="217"/>
        <w:gridCol w:w="718"/>
        <w:gridCol w:w="548"/>
      </w:tblGrid>
      <w:tr>
        <w:trPr/>
        <w:tc>
          <w:tcPr>
            <w:tcW w:w="2822"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7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231F20"/>
                <w:sz w:val="18"/>
              </w:rPr>
            </w:pPr>
            <w:r>
              <w:rPr>
                <w:rFonts w:ascii="Times New Roman;serif" w:hAnsi="Times New Roman;serif"/>
                <w:b/>
                <w:color w:val="231F2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lineRule="auto" w:line="321" w:before="0" w:after="160"/>
              <w:jc w:val="center"/>
              <w:rPr/>
            </w:pPr>
            <w:r>
              <w:rPr>
                <w:rFonts w:ascii="Times New Roman;serif" w:hAnsi="Times New Roman;serif"/>
                <w:b/>
                <w:color w:val="231F20"/>
                <w:sz w:val="18"/>
              </w:rPr>
              <w:t xml:space="preserve">December 31, 2025 </w:t>
            </w:r>
            <w:r>
              <w:rPr>
                <w:rFonts w:ascii="Times New Roman;serif" w:hAnsi="Times New Roman;serif"/>
                <w:b/>
                <w:color w:val="231F20"/>
                <w:sz w:val="12"/>
              </w:rPr>
              <w:t>(1)</w:t>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231F20"/>
                <w:sz w:val="18"/>
              </w:rPr>
            </w:pPr>
            <w:r>
              <w:rPr>
                <w:rFonts w:ascii="Times New Roman;serif" w:hAnsi="Times New Roman;serif"/>
                <w:b w:val="false"/>
                <w:color w:val="231F20"/>
                <w:sz w:val="18"/>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18"/>
              </w:rPr>
            </w:pPr>
            <w:r>
              <w:rPr>
                <w:rFonts w:ascii="Times New Roman;serif" w:hAnsi="Times New Roman;serif"/>
                <w:b/>
                <w:color w:val="000000"/>
                <w:sz w:val="18"/>
              </w:rPr>
              <w:t>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18"/>
              </w:rPr>
            </w:pPr>
            <w:r>
              <w:rPr>
                <w:rFonts w:ascii="Times New Roman;serif" w:hAnsi="Times New Roman;serif"/>
                <w:b/>
                <w:color w:val="000000"/>
                <w:sz w:val="18"/>
              </w:rPr>
              <w:t>Current 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18"/>
              </w:rPr>
            </w:pPr>
            <w:r>
              <w:rPr>
                <w:rFonts w:ascii="Times New Roman;serif" w:hAnsi="Times New Roman;serif"/>
                <w:b w:val="false"/>
                <w:color w:val="231F20"/>
                <w:sz w:val="18"/>
              </w:rPr>
              <w:t>312,780 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18"/>
              </w:rPr>
            </w:pPr>
            <w:r>
              <w:rPr>
                <w:rFonts w:ascii="Times New Roman;serif" w:hAnsi="Times New Roman;serif"/>
                <w:b w:val="false"/>
                <w:color w:val="231F20"/>
                <w:sz w:val="18"/>
              </w:rPr>
              <w:t>16,164 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18"/>
              </w:rPr>
            </w:pPr>
            <w:r>
              <w:rPr>
                <w:rFonts w:ascii="Times New Roman;serif" w:hAnsi="Times New Roman;serif"/>
                <w:b w:val="false"/>
                <w:color w:val="231F20"/>
                <w:sz w:val="18"/>
              </w:rPr>
              <w:t>3,430 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18"/>
              </w:rPr>
            </w:pPr>
            <w:r>
              <w:rPr>
                <w:rFonts w:ascii="Times New Roman;serif" w:hAnsi="Times New Roman;serif"/>
                <w:b w:val="false"/>
                <w:color w:val="231F20"/>
                <w:sz w:val="18"/>
              </w:rPr>
              <w:t>9,477 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Materials and supplies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18"/>
              </w:rPr>
            </w:pPr>
            <w:r>
              <w:rPr>
                <w:rFonts w:ascii="Times New Roman;serif" w:hAnsi="Times New Roman;serif"/>
                <w:b w:val="false"/>
                <w:color w:val="231F20"/>
                <w:sz w:val="18"/>
              </w:rPr>
              <w:t>5,718 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18"/>
              </w:rPr>
            </w:pPr>
            <w:r>
              <w:rPr>
                <w:rFonts w:ascii="Times New Roman;serif" w:hAnsi="Times New Roman;serif"/>
                <w:b w:val="false"/>
                <w:color w:val="231F20"/>
                <w:sz w:val="18"/>
              </w:rPr>
              <w:t>8,344 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18"/>
              </w:rPr>
            </w:pPr>
            <w:r>
              <w:rPr>
                <w:rFonts w:ascii="Times New Roman;serif" w:hAnsi="Times New Roman;serif"/>
                <w:b w:val="false"/>
                <w:color w:val="231F20"/>
                <w:sz w:val="18"/>
              </w:rPr>
              <w:t>9,292 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18"/>
              </w:rPr>
            </w:pPr>
            <w:r>
              <w:rPr>
                <w:rFonts w:ascii="Times New Roman;serif" w:hAnsi="Times New Roman;serif"/>
                <w:b w:val="false"/>
                <w:color w:val="231F20"/>
                <w:sz w:val="18"/>
              </w:rPr>
              <w:t>6,229 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 xml:space="preserve">Total current assets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18"/>
              </w:rPr>
            </w:pPr>
            <w:r>
              <w:rPr>
                <w:rFonts w:ascii="Times New Roman;serif" w:hAnsi="Times New Roman;serif"/>
                <w:b w:val="false"/>
                <w:color w:val="231F20"/>
                <w:sz w:val="18"/>
              </w:rPr>
              <w:t>331,220 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18"/>
              </w:rPr>
            </w:pPr>
            <w:r>
              <w:rPr>
                <w:rFonts w:ascii="Times New Roman;serif" w:hAnsi="Times New Roman;serif"/>
                <w:b w:val="false"/>
                <w:color w:val="231F20"/>
                <w:sz w:val="18"/>
              </w:rPr>
              <w:t>40,214 </w:t>
            </w:r>
          </w:p>
        </w:tc>
        <w:tc>
          <w:tcPr>
            <w:tcW w:w="5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18"/>
              </w:rPr>
            </w:pPr>
            <w:r>
              <w:rPr>
                <w:rFonts w:ascii="Times New Roman;serif" w:hAnsi="Times New Roman;serif"/>
                <w:b w:val="false"/>
                <w:color w:val="231F20"/>
                <w:sz w:val="18"/>
              </w:rPr>
              <w:t>17,270 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18"/>
              </w:rPr>
            </w:pPr>
            <w:r>
              <w:rPr>
                <w:rFonts w:ascii="Times New Roman;serif" w:hAnsi="Times New Roman;serif"/>
                <w:b w:val="false"/>
                <w:color w:val="231F20"/>
                <w:sz w:val="18"/>
              </w:rPr>
              <w:t>18,313 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 xml:space="preserve">Operating right-of-use assets, net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18"/>
              </w:rPr>
            </w:pPr>
            <w:r>
              <w:rPr>
                <w:rFonts w:ascii="Times New Roman;serif" w:hAnsi="Times New Roman;serif"/>
                <w:b w:val="false"/>
                <w:color w:val="231F20"/>
                <w:sz w:val="18"/>
              </w:rPr>
              <w:t>25,340 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18"/>
              </w:rPr>
            </w:pPr>
            <w:r>
              <w:rPr>
                <w:rFonts w:ascii="Times New Roman;serif" w:hAnsi="Times New Roman;serif"/>
                <w:b w:val="false"/>
                <w:color w:val="231F20"/>
                <w:sz w:val="18"/>
              </w:rPr>
              <w:t>6,949 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18"/>
              </w:rPr>
            </w:pPr>
            <w:r>
              <w:rPr>
                <w:rFonts w:ascii="Times New Roman;serif" w:hAnsi="Times New Roman;serif"/>
                <w:b w:val="false"/>
                <w:color w:val="231F20"/>
                <w:sz w:val="18"/>
              </w:rPr>
              <w:t>4,946 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18"/>
              </w:rPr>
            </w:pPr>
            <w:r>
              <w:rPr>
                <w:rFonts w:ascii="Times New Roman;serif" w:hAnsi="Times New Roman;serif"/>
                <w:b w:val="false"/>
                <w:color w:val="231F20"/>
                <w:sz w:val="18"/>
              </w:rPr>
              <w:t>5,128 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Long-term deposits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18"/>
              </w:rPr>
            </w:pPr>
            <w:r>
              <w:rPr>
                <w:rFonts w:ascii="Times New Roman;serif" w:hAnsi="Times New Roman;serif"/>
                <w:b w:val="false"/>
                <w:color w:val="231F20"/>
                <w:sz w:val="18"/>
              </w:rPr>
              <w:t>5,233 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231F20"/>
              </w:rPr>
            </w:pPr>
            <w:r>
              <w:rPr>
                <w:color w:val="231F20"/>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firstLine="180"/>
              <w:jc w:val="left"/>
              <w:rPr>
                <w:rFonts w:ascii="Times New Roman;serif" w:hAnsi="Times New Roman;serif"/>
                <w:b/>
                <w:color w:val="000000"/>
                <w:sz w:val="18"/>
              </w:rPr>
            </w:pPr>
            <w:r>
              <w:rPr>
                <w:rFonts w:ascii="Times New Roman;serif" w:hAnsi="Times New Roman;serif"/>
                <w:b/>
                <w:color w:val="000000"/>
                <w:sz w:val="18"/>
              </w:rPr>
              <w:t xml:space="preserve">Total assets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70,604 </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18"/>
              </w:rPr>
            </w:pPr>
            <w:r>
              <w:rPr>
                <w:rFonts w:ascii="Times New Roman;serif" w:hAnsi="Times New Roman;serif"/>
                <w:b/>
                <w:color w:val="000000"/>
                <w:sz w:val="18"/>
              </w:rPr>
              <w:t>Liabilities and Shareholders’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 xml:space="preserve">Accounts payable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18"/>
              </w:rPr>
            </w:pPr>
            <w:r>
              <w:rPr>
                <w:rFonts w:ascii="Times New Roman;serif" w:hAnsi="Times New Roman;serif"/>
                <w:b w:val="false"/>
                <w:color w:val="231F20"/>
                <w:sz w:val="18"/>
              </w:rPr>
              <w:t>1,538 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18"/>
              </w:rPr>
            </w:pPr>
            <w:r>
              <w:rPr>
                <w:rFonts w:ascii="Times New Roman;serif" w:hAnsi="Times New Roman;serif"/>
                <w:b w:val="false"/>
                <w:color w:val="231F20"/>
                <w:sz w:val="18"/>
              </w:rPr>
              <w:t>2,802 </w:t>
            </w:r>
          </w:p>
        </w:tc>
        <w:tc>
          <w:tcPr>
            <w:tcW w:w="548"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 xml:space="preserve">Accrued expenses and other current liabilities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18"/>
              </w:rPr>
            </w:pPr>
            <w:r>
              <w:rPr>
                <w:rFonts w:ascii="Times New Roman;serif" w:hAnsi="Times New Roman;serif"/>
                <w:b w:val="false"/>
                <w:color w:val="231F20"/>
                <w:sz w:val="18"/>
              </w:rPr>
              <w:t>6,723 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18"/>
              </w:rPr>
            </w:pPr>
            <w:r>
              <w:rPr>
                <w:rFonts w:ascii="Times New Roman;serif" w:hAnsi="Times New Roman;serif"/>
                <w:b w:val="false"/>
                <w:color w:val="231F20"/>
                <w:sz w:val="18"/>
              </w:rPr>
              <w:t>2,191 </w:t>
            </w:r>
          </w:p>
        </w:tc>
        <w:tc>
          <w:tcPr>
            <w:tcW w:w="548"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18"/>
              </w:rPr>
            </w:pPr>
            <w:r>
              <w:rPr>
                <w:rFonts w:ascii="Times New Roman;serif" w:hAnsi="Times New Roman;serif"/>
                <w:b w:val="false"/>
                <w:color w:val="231F20"/>
                <w:sz w:val="18"/>
              </w:rPr>
              <w:t>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18"/>
              </w:rPr>
            </w:pPr>
            <w:r>
              <w:rPr>
                <w:rFonts w:ascii="Times New Roman;serif" w:hAnsi="Times New Roman;serif"/>
                <w:b w:val="false"/>
                <w:color w:val="231F20"/>
                <w:sz w:val="18"/>
              </w:rPr>
              <w:t>544 </w:t>
            </w:r>
          </w:p>
        </w:tc>
        <w:tc>
          <w:tcPr>
            <w:tcW w:w="548"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Deferred grant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18"/>
              </w:rPr>
            </w:pPr>
            <w:r>
              <w:rPr>
                <w:rFonts w:ascii="Times New Roman;serif" w:hAnsi="Times New Roman;serif"/>
                <w:b w:val="false"/>
                <w:color w:val="231F20"/>
                <w:sz w:val="18"/>
              </w:rPr>
              <w:t>3,224 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18"/>
              </w:rPr>
            </w:pPr>
            <w:r>
              <w:rPr>
                <w:rFonts w:ascii="Times New Roman;serif" w:hAnsi="Times New Roman;serif"/>
                <w:b w:val="false"/>
                <w:color w:val="231F20"/>
                <w:sz w:val="18"/>
              </w:rPr>
              <w:t>492 </w:t>
            </w:r>
          </w:p>
        </w:tc>
        <w:tc>
          <w:tcPr>
            <w:tcW w:w="548"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 xml:space="preserve">Short-term operating lease liabilities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18"/>
              </w:rPr>
            </w:pPr>
            <w:r>
              <w:rPr>
                <w:rFonts w:ascii="Times New Roman;serif" w:hAnsi="Times New Roman;serif"/>
                <w:b w:val="false"/>
                <w:color w:val="231F20"/>
                <w:sz w:val="18"/>
              </w:rPr>
              <w:t>1,051 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18"/>
              </w:rPr>
            </w:pPr>
            <w:r>
              <w:rPr>
                <w:rFonts w:ascii="Times New Roman;serif" w:hAnsi="Times New Roman;serif"/>
                <w:b w:val="false"/>
                <w:color w:val="231F20"/>
                <w:sz w:val="18"/>
              </w:rPr>
              <w:t>1,074 </w:t>
            </w:r>
          </w:p>
        </w:tc>
        <w:tc>
          <w:tcPr>
            <w:tcW w:w="548"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18"/>
              </w:rPr>
            </w:pPr>
            <w:r>
              <w:rPr>
                <w:rFonts w:ascii="Times New Roman;serif" w:hAnsi="Times New Roman;serif"/>
                <w:b w:val="false"/>
                <w:color w:val="231F20"/>
                <w:sz w:val="18"/>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 xml:space="preserve">Warrant liabilities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18"/>
              </w:rPr>
            </w:pPr>
            <w:r>
              <w:rPr>
                <w:rFonts w:ascii="Times New Roman;serif" w:hAnsi="Times New Roman;serif"/>
                <w:b w:val="false"/>
                <w:color w:val="231F20"/>
                <w:sz w:val="18"/>
              </w:rPr>
              <w:t>1,874 </w:t>
            </w:r>
          </w:p>
        </w:tc>
        <w:tc>
          <w:tcPr>
            <w:tcW w:w="548"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 xml:space="preserve">Total current liabilities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18"/>
              </w:rPr>
            </w:pPr>
            <w:r>
              <w:rPr>
                <w:rFonts w:ascii="Times New Roman;serif" w:hAnsi="Times New Roman;serif"/>
                <w:b w:val="false"/>
                <w:color w:val="231F20"/>
                <w:sz w:val="18"/>
              </w:rPr>
              <w:t>12,971 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18"/>
              </w:rPr>
            </w:pPr>
            <w:r>
              <w:rPr>
                <w:rFonts w:ascii="Times New Roman;serif" w:hAnsi="Times New Roman;serif"/>
                <w:b w:val="false"/>
                <w:color w:val="231F20"/>
                <w:sz w:val="18"/>
              </w:rPr>
              <w:t>8,977 </w:t>
            </w:r>
          </w:p>
        </w:tc>
        <w:tc>
          <w:tcPr>
            <w:tcW w:w="5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Long-term 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18"/>
              </w:rPr>
            </w:pPr>
            <w:r>
              <w:rPr>
                <w:rFonts w:ascii="Times New Roman;serif" w:hAnsi="Times New Roman;serif"/>
                <w:b w:val="false"/>
                <w:color w:val="231F20"/>
                <w:sz w:val="18"/>
              </w:rPr>
              <w:t>25,556 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18"/>
              </w:rPr>
            </w:pPr>
            <w:r>
              <w:rPr>
                <w:rFonts w:ascii="Times New Roman;serif" w:hAnsi="Times New Roman;serif"/>
                <w:b w:val="false"/>
                <w:color w:val="231F20"/>
                <w:sz w:val="18"/>
              </w:rPr>
              <w:t>7,185 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 xml:space="preserve">Long-term debt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18"/>
              </w:rPr>
            </w:pPr>
            <w:r>
              <w:rPr>
                <w:rFonts w:ascii="Times New Roman;serif" w:hAnsi="Times New Roman;serif"/>
                <w:b w:val="false"/>
                <w:color w:val="231F20"/>
                <w:sz w:val="18"/>
              </w:rPr>
              <w:t>32,407 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18"/>
              </w:rPr>
            </w:pPr>
            <w:r>
              <w:rPr>
                <w:rFonts w:ascii="Times New Roman;serif" w:hAnsi="Times New Roman;serif"/>
                <w:b w:val="false"/>
                <w:color w:val="231F20"/>
                <w:sz w:val="18"/>
              </w:rPr>
              <w:t>29,998 </w:t>
            </w:r>
          </w:p>
        </w:tc>
        <w:tc>
          <w:tcPr>
            <w:tcW w:w="548"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firstLine="180"/>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46,160 </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18"/>
              </w:rPr>
            </w:pPr>
            <w:r>
              <w:rPr>
                <w:rFonts w:ascii="Times New Roman;serif" w:hAnsi="Times New Roman;serif"/>
                <w:b/>
                <w:color w:val="000000"/>
                <w:sz w:val="18"/>
              </w:rPr>
              <w:t>Shareholders’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firstLine="180"/>
              <w:jc w:val="left"/>
              <w:rPr/>
            </w:pPr>
            <w:r>
              <w:rPr>
                <w:rFonts w:ascii="Times New Roman;serif" w:hAnsi="Times New Roman;serif"/>
                <w:b w:val="false"/>
                <w:color w:val="000000"/>
                <w:sz w:val="18"/>
              </w:rPr>
              <w:t xml:space="preserve">Old Xanadu convertible preferred shares, no par value, 204,286,254 shares authorized, 199,930,069 issued and outstanding at December 31, 2025 </w:t>
            </w:r>
            <w:r>
              <w:rPr>
                <w:rFonts w:ascii="Times New Roman;serif" w:hAnsi="Times New Roman;serif"/>
                <w:b w:val="false"/>
                <w:color w:val="000000"/>
                <w:sz w:val="12"/>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18"/>
              </w:rPr>
            </w:pPr>
            <w:r>
              <w:rPr>
                <w:rFonts w:ascii="Times New Roman;serif" w:hAnsi="Times New Roman;serif"/>
                <w:b w:val="false"/>
                <w:color w:val="231F20"/>
                <w:sz w:val="18"/>
              </w:rPr>
              <w:t>213,002 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firstLine="180"/>
              <w:jc w:val="left"/>
              <w:rPr/>
            </w:pPr>
            <w:r>
              <w:rPr>
                <w:rFonts w:ascii="Times New Roman;serif" w:hAnsi="Times New Roman;serif"/>
                <w:b w:val="false"/>
                <w:color w:val="000000"/>
                <w:sz w:val="18"/>
              </w:rPr>
              <w:t xml:space="preserve">Old Xanadu common shares, no par value, 336,123,821 shares authorized, 55,964,876 shares issued and outstanding at December 31, 2025 </w:t>
            </w:r>
            <w:r>
              <w:rPr>
                <w:rFonts w:ascii="Times New Roman;serif" w:hAnsi="Times New Roman;serif"/>
                <w:b w:val="false"/>
                <w:color w:val="000000"/>
                <w:sz w:val="12"/>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7,585 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Common shares, unlimited Xanadu Class A Multiple Voting Shares authorized, no par value, 251,555,764 issued and outstanding; unlimited Xanadu Class B Subordinate Voting Shares authorized, no par value, 52,668,260 shares issued and outstanding at June 30, 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566,167 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 xml:space="preserve">Additional paid-in capital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17,027 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10,151 </w:t>
            </w:r>
          </w:p>
        </w:tc>
        <w:tc>
          <w:tcPr>
            <w:tcW w:w="548"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(270,365)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(206,303)</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firstLine="180"/>
              <w:jc w:val="left"/>
              <w:rPr>
                <w:rFonts w:ascii="Times New Roman;serif" w:hAnsi="Times New Roman;serif"/>
                <w:b/>
                <w:color w:val="000000"/>
                <w:sz w:val="18"/>
              </w:rPr>
            </w:pPr>
            <w:r>
              <w:rPr>
                <w:rFonts w:ascii="Times New Roman;serif" w:hAnsi="Times New Roman;serif"/>
                <w:b/>
                <w:color w:val="000000"/>
                <w:sz w:val="18"/>
              </w:rPr>
              <w:t xml:space="preserve">Total shareholders’ equity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313,075 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24,444 </w:t>
            </w:r>
          </w:p>
        </w:tc>
        <w:tc>
          <w:tcPr>
            <w:tcW w:w="5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firstLine="180"/>
              <w:jc w:val="left"/>
              <w:rPr>
                <w:rFonts w:ascii="Times New Roman;serif" w:hAnsi="Times New Roman;serif"/>
                <w:b/>
                <w:color w:val="000000"/>
                <w:sz w:val="18"/>
              </w:rPr>
            </w:pPr>
            <w:r>
              <w:rPr>
                <w:rFonts w:ascii="Times New Roman;serif" w:hAnsi="Times New Roman;serif"/>
                <w:b/>
                <w:color w:val="000000"/>
                <w:sz w:val="18"/>
              </w:rPr>
              <w:t xml:space="preserve">Total liabilities and shareholders’ equity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384,009 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70,604 </w:t>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Times New Roman;serif" w:hAnsi="Times New Roman;serif"/>
          <w:b w:val="false"/>
          <w:color w:val="000000"/>
          <w:sz w:val="12"/>
        </w:rPr>
        <w:t xml:space="preserve">(1) </w:t>
      </w:r>
      <w:r>
        <w:rPr>
          <w:rFonts w:ascii="Times New Roman;serif" w:hAnsi="Times New Roman;serif"/>
          <w:b w:val="false"/>
          <w:color w:val="231F20"/>
          <w:sz w:val="18"/>
        </w:rPr>
        <w:t xml:space="preserve">Old Xanadu convertible preferred shares and common shares have been retroactively recast after giving effect to the </w:t>
      </w:r>
      <w:r>
        <w:rPr>
          <w:rFonts w:ascii="Times New Roman;serif" w:hAnsi="Times New Roman;serif"/>
          <w:b w:val="false"/>
          <w:color w:val="000000"/>
          <w:sz w:val="18"/>
        </w:rPr>
        <w:t>Reverse Recapitalization</w:t>
      </w:r>
      <w:r>
        <w:rPr>
          <w:rFonts w:ascii="Times New Roman;serif" w:hAnsi="Times New Roman;serif"/>
          <w:b w:val="false"/>
          <w:color w:val="231F20"/>
          <w:sz w:val="18"/>
        </w:rPr>
        <w:t xml:space="preserve">. Refer to the Company's 6-K Q2 2026 Quarterly Report filed on </w:t>
      </w:r>
      <w:r>
        <w:rPr>
          <w:rFonts w:ascii="Times New Roman;serif" w:hAnsi="Times New Roman;serif"/>
          <w:b w:val="false"/>
          <w:color w:val="000000"/>
          <w:sz w:val="18"/>
        </w:rPr>
        <w:t>August 5, 2026</w:t>
      </w:r>
      <w:r>
        <w:rPr>
          <w:color w:val="231F20"/>
        </w:rPr>
        <w:t xml:space="preserve"> </w:t>
      </w:r>
      <w:r>
        <w:rPr>
          <w:rFonts w:ascii="Times New Roman;serif" w:hAnsi="Times New Roman;serif"/>
          <w:b w:val="false"/>
          <w:color w:val="231F20"/>
          <w:sz w:val="18"/>
        </w:rPr>
        <w:t xml:space="preserve">for additional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21" w:before="0" w:after="0"/>
        <w:jc w:val="center"/>
        <w:rPr>
          <w:rFonts w:ascii="Times New Roman;serif" w:hAnsi="Times New Roman;serif"/>
          <w:b/>
          <w:color w:val="000000"/>
          <w:sz w:val="20"/>
        </w:rPr>
      </w:pPr>
      <w:r>
        <w:rPr>
          <w:rFonts w:ascii="Times New Roman;serif" w:hAnsi="Times New Roman;serif"/>
          <w:b/>
          <w:color w:val="000000"/>
          <w:sz w:val="20"/>
        </w:rPr>
        <w:t>XANADU QUANTUM TECHNOLOGIES LIMITED</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11.9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Loss (Unaudited)</w:t>
      </w:r>
    </w:p>
    <w:p>
      <w:pPr>
        <w:pStyle w:val="TextBody"/>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(In US $ thousands, except for share and per share amounts)</w:t>
      </w:r>
    </w:p>
    <w:p>
      <w:pPr>
        <w:pStyle w:val="TextBody"/>
        <w:bidi w:val="0"/>
        <w:spacing w:before="240" w:after="300"/>
        <w:jc w:val="left"/>
        <w:rPr/>
      </w:pPr>
      <w:r>
        <w:rPr/>
      </w:r>
    </w:p>
    <w:tbl>
      <w:tblPr>
        <w:tblW w:w="9990" w:type="dxa"/>
        <w:jc w:val="left"/>
        <w:tblInd w:w="0" w:type="dxa"/>
        <w:tblLayout w:type="fixed"/>
        <w:tblCellMar>
          <w:top w:w="28" w:type="dxa"/>
          <w:left w:w="28" w:type="dxa"/>
          <w:bottom w:w="28" w:type="dxa"/>
          <w:right w:w="28" w:type="dxa"/>
        </w:tblCellMar>
      </w:tblPr>
      <w:tblGrid>
        <w:gridCol w:w="1759"/>
        <w:gridCol w:w="1542"/>
        <w:gridCol w:w="1559"/>
        <w:gridCol w:w="196"/>
        <w:gridCol w:w="721"/>
        <w:gridCol w:w="109"/>
        <w:gridCol w:w="109"/>
        <w:gridCol w:w="109"/>
        <w:gridCol w:w="109"/>
        <w:gridCol w:w="196"/>
        <w:gridCol w:w="721"/>
        <w:gridCol w:w="109"/>
        <w:gridCol w:w="109"/>
        <w:gridCol w:w="109"/>
        <w:gridCol w:w="109"/>
        <w:gridCol w:w="196"/>
        <w:gridCol w:w="721"/>
        <w:gridCol w:w="109"/>
        <w:gridCol w:w="109"/>
        <w:gridCol w:w="109"/>
        <w:gridCol w:w="109"/>
        <w:gridCol w:w="196"/>
        <w:gridCol w:w="721"/>
        <w:gridCol w:w="154"/>
      </w:tblGrid>
      <w:tr>
        <w:trPr/>
        <w:tc>
          <w:tcPr>
            <w:tcW w:w="1759"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18"/>
              </w:rPr>
            </w:pPr>
            <w:r>
              <w:rPr>
                <w:rFonts w:ascii="Times New Roman;serif" w:hAnsi="Times New Roman;serif"/>
                <w:b/>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4,343 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1,755 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231F20"/>
                <w:sz w:val="18"/>
              </w:rPr>
            </w:pPr>
            <w:r>
              <w:rPr>
                <w:rFonts w:ascii="Times New Roman;serif" w:hAnsi="Times New Roman;serif"/>
                <w:b/>
                <w:color w:val="231F20"/>
                <w:sz w:val="18"/>
              </w:rPr>
              <w:t>Operating expenses: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tLeast" w:line="210" w:before="8" w:after="283"/>
              <w:ind w:left="0" w:right="0" w:hanging="180"/>
              <w:jc w:val="left"/>
              <w:rPr>
                <w:rFonts w:ascii="Times New Roman;serif" w:hAnsi="Times New Roman;serif"/>
                <w:b w:val="false"/>
                <w:color w:val="231F20"/>
                <w:sz w:val="18"/>
              </w:rPr>
            </w:pPr>
            <w:r>
              <w:rPr>
                <w:rFonts w:ascii="Times New Roman;serif" w:hAnsi="Times New Roman;serif"/>
                <w:b w:val="false"/>
                <w:color w:val="231F20"/>
                <w:sz w:val="18"/>
              </w:rPr>
              <w:t>Cost of revenue (exclusive of depreciation and amortization below)</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88" w:before="29" w:after="283"/>
              <w:ind w:left="0" w:right="0" w:hanging="180"/>
              <w:jc w:val="left"/>
              <w:rPr>
                <w:rFonts w:ascii="Times New Roman;serif" w:hAnsi="Times New Roman;serif"/>
                <w:b w:val="false"/>
                <w:color w:val="231F20"/>
                <w:sz w:val="18"/>
              </w:rPr>
            </w:pPr>
            <w:r>
              <w:rPr>
                <w:rFonts w:ascii="Times New Roman;serif" w:hAnsi="Times New Roman;serif"/>
                <w:b w:val="false"/>
                <w:color w:val="231F20"/>
                <w:sz w:val="18"/>
              </w:rPr>
              <w:t xml:space="preserve">Research and development </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19,723 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13,012 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37,604 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23,020 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88" w:before="29" w:after="283"/>
              <w:ind w:left="0" w:right="0" w:hanging="180"/>
              <w:jc w:val="left"/>
              <w:rPr>
                <w:rFonts w:ascii="Times New Roman;serif" w:hAnsi="Times New Roman;serif"/>
                <w:b w:val="false"/>
                <w:color w:val="231F20"/>
                <w:sz w:val="18"/>
              </w:rPr>
            </w:pPr>
            <w:r>
              <w:rPr>
                <w:rFonts w:ascii="Times New Roman;serif" w:hAnsi="Times New Roman;serif"/>
                <w:b w:val="false"/>
                <w:color w:val="231F20"/>
                <w:sz w:val="18"/>
              </w:rPr>
              <w:t xml:space="preserve">General and administrative </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11,051 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20,276 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4,096 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88" w:before="29" w:after="283"/>
              <w:ind w:left="0" w:right="0" w:hanging="180"/>
              <w:jc w:val="left"/>
              <w:rPr>
                <w:rFonts w:ascii="Times New Roman;serif" w:hAnsi="Times New Roman;serif"/>
                <w:b w:val="false"/>
                <w:color w:val="231F20"/>
                <w:sz w:val="18"/>
              </w:rPr>
            </w:pPr>
            <w:r>
              <w:rPr>
                <w:rFonts w:ascii="Times New Roman;serif" w:hAnsi="Times New Roman;serif"/>
                <w:b w:val="false"/>
                <w:color w:val="231F20"/>
                <w:sz w:val="18"/>
              </w:rPr>
              <w:t>Sales and marketing</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88" w:before="29" w:after="283"/>
              <w:ind w:left="0" w:right="0" w:hanging="180"/>
              <w:jc w:val="left"/>
              <w:rPr>
                <w:rFonts w:ascii="Times New Roman;serif" w:hAnsi="Times New Roman;serif"/>
                <w:b w:val="false"/>
                <w:color w:val="231F20"/>
                <w:sz w:val="18"/>
              </w:rPr>
            </w:pPr>
            <w:r>
              <w:rPr>
                <w:rFonts w:ascii="Times New Roman;serif" w:hAnsi="Times New Roman;serif"/>
                <w:b w:val="false"/>
                <w:color w:val="231F20"/>
                <w:sz w:val="18"/>
              </w:rPr>
              <w:t xml:space="preserve">Depreciation and amortization </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3,256 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88" w:before="29" w:after="283"/>
              <w:ind w:left="0" w:right="0" w:hanging="180"/>
              <w:jc w:val="left"/>
              <w:rPr>
                <w:rFonts w:ascii="Times New Roman;serif" w:hAnsi="Times New Roman;serif"/>
                <w:b w:val="false"/>
                <w:color w:val="231F20"/>
                <w:sz w:val="18"/>
              </w:rPr>
            </w:pPr>
            <w:r>
              <w:rPr>
                <w:rFonts w:ascii="Times New Roman;serif" w:hAnsi="Times New Roman;serif"/>
                <w:b w:val="false"/>
                <w:color w:val="231F20"/>
                <w:sz w:val="18"/>
              </w:rPr>
              <w:t xml:space="preserve">Other operating income, net </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(5,724)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(318)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88" w:before="29" w:after="283"/>
              <w:jc w:val="left"/>
              <w:rPr>
                <w:rFonts w:ascii="Times New Roman;serif" w:hAnsi="Times New Roman;serif"/>
                <w:b w:val="false"/>
                <w:color w:val="231F20"/>
                <w:sz w:val="18"/>
              </w:rPr>
            </w:pPr>
            <w:r>
              <w:rPr>
                <w:rFonts w:ascii="Times New Roman;serif" w:hAnsi="Times New Roman;serif"/>
                <w:b w:val="false"/>
                <w:color w:val="231F20"/>
                <w:sz w:val="18"/>
              </w:rPr>
              <w:t xml:space="preserve">Total operating expenses </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31,502 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16,580 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57,600 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30,043 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88" w:before="29" w:after="283"/>
              <w:jc w:val="left"/>
              <w:rPr>
                <w:rFonts w:ascii="Times New Roman;serif" w:hAnsi="Times New Roman;serif"/>
                <w:b/>
                <w:color w:val="231F20"/>
                <w:sz w:val="18"/>
              </w:rPr>
            </w:pPr>
            <w:r>
              <w:rPr>
                <w:rFonts w:ascii="Times New Roman;serif" w:hAnsi="Times New Roman;serif"/>
                <w:b/>
                <w:color w:val="231F20"/>
                <w:sz w:val="18"/>
              </w:rPr>
              <w:t>Loss from operations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(29,991)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(15,523)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(53,257)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(28,288)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231F20"/>
                <w:sz w:val="18"/>
              </w:rPr>
            </w:pPr>
            <w:r>
              <w:rPr>
                <w:rFonts w:ascii="Times New Roman;serif" w:hAnsi="Times New Roman;serif"/>
                <w:b/>
                <w:color w:val="231F20"/>
                <w:sz w:val="18"/>
              </w:rPr>
              <w:t>Other income (expense), net:</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88" w:before="28" w:after="283"/>
              <w:ind w:left="0" w:right="0" w:hanging="180"/>
              <w:jc w:val="left"/>
              <w:rPr>
                <w:rFonts w:ascii="Times New Roman;serif" w:hAnsi="Times New Roman;serif"/>
                <w:b w:val="false"/>
                <w:color w:val="231F20"/>
                <w:sz w:val="18"/>
              </w:rPr>
            </w:pPr>
            <w:r>
              <w:rPr>
                <w:rFonts w:ascii="Times New Roman;serif" w:hAnsi="Times New Roman;serif"/>
                <w:b w:val="false"/>
                <w:color w:val="231F20"/>
                <w:sz w:val="18"/>
              </w:rPr>
              <w:t>Interest income (expense),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894 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18"/>
              </w:rPr>
            </w:pPr>
            <w:r>
              <w:rPr>
                <w:rFonts w:ascii="Times New Roman;serif" w:hAnsi="Times New Roman;serif"/>
                <w:b w:val="false"/>
                <w:color w:val="231F20"/>
                <w:sz w:val="18"/>
              </w:rPr>
              <w:t>Loss on fair value of earn out share liabilities,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(10,597)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(7,764)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18"/>
              </w:rPr>
            </w:pPr>
            <w:r>
              <w:rPr>
                <w:rFonts w:ascii="Times New Roman;serif" w:hAnsi="Times New Roman;serif"/>
                <w:b w:val="false"/>
                <w:color w:val="231F20"/>
                <w:sz w:val="18"/>
              </w:rPr>
              <w:t>Loss on derivative instruments,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88" w:before="29" w:after="283"/>
              <w:ind w:left="0" w:right="0" w:hanging="180"/>
              <w:jc w:val="left"/>
              <w:rPr>
                <w:rFonts w:ascii="Times New Roman;serif" w:hAnsi="Times New Roman;serif"/>
                <w:b w:val="false"/>
                <w:color w:val="231F20"/>
                <w:sz w:val="18"/>
              </w:rPr>
            </w:pPr>
            <w:r>
              <w:rPr>
                <w:rFonts w:ascii="Times New Roman;serif" w:hAnsi="Times New Roman;serif"/>
                <w:b w:val="false"/>
                <w:color w:val="231F20"/>
                <w:sz w:val="18"/>
              </w:rPr>
              <w:t xml:space="preserve">Other income (expense), net </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(1,856)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88" w:before="29" w:after="283"/>
              <w:jc w:val="left"/>
              <w:rPr>
                <w:rFonts w:ascii="Times New Roman;serif" w:hAnsi="Times New Roman;serif"/>
                <w:b w:val="false"/>
                <w:color w:val="231F20"/>
                <w:sz w:val="18"/>
              </w:rPr>
            </w:pPr>
            <w:r>
              <w:rPr>
                <w:rFonts w:ascii="Times New Roman;serif" w:hAnsi="Times New Roman;serif"/>
                <w:b w:val="false"/>
                <w:color w:val="231F20"/>
                <w:sz w:val="18"/>
              </w:rPr>
              <w:t>Total other income (expense), net</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(12,060)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(9,398)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943 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18"/>
              </w:rPr>
            </w:pPr>
            <w:r>
              <w:rPr>
                <w:rFonts w:ascii="Times New Roman;serif" w:hAnsi="Times New Roman;serif"/>
                <w:b/>
                <w:color w:val="000000"/>
                <w:sz w:val="18"/>
              </w:rPr>
              <w:t xml:space="preserve">Net loss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(42,051)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(15,140)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(62,655)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(27,345)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pPr>
            <w:r>
              <w:rPr>
                <w:rFonts w:ascii="Times New Roman;serif" w:hAnsi="Times New Roman;serif"/>
                <w:b w:val="false"/>
                <w:color w:val="000000"/>
                <w:sz w:val="18"/>
              </w:rPr>
              <w:t xml:space="preserve">Net loss per share, basic and diluted </w:t>
            </w:r>
            <w:r>
              <w:rPr>
                <w:rFonts w:ascii="Times New Roman;serif" w:hAnsi="Times New Roman;serif"/>
                <w:b w:val="false"/>
                <w:color w:val="000000"/>
                <w:sz w:val="12"/>
              </w:rPr>
              <w:t>(1)</w:t>
            </w:r>
          </w:p>
        </w:tc>
        <w:tc>
          <w:tcPr>
            <w:tcW w:w="196"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(0.49)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pPr>
            <w:r>
              <w:rPr>
                <w:rFonts w:ascii="Times New Roman;serif" w:hAnsi="Times New Roman;serif"/>
                <w:b w:val="false"/>
                <w:color w:val="000000"/>
                <w:sz w:val="18"/>
              </w:rPr>
              <w:t>Weighted average shares outstanding</w:t>
            </w:r>
            <w:r>
              <w:rPr>
                <w:color w:val="000000"/>
              </w:rPr>
              <w:t xml:space="preserve"> </w:t>
            </w:r>
            <w:r>
              <w:rPr>
                <w:rFonts w:ascii="Times New Roman;serif" w:hAnsi="Times New Roman;serif"/>
                <w:b w:val="false"/>
                <w:color w:val="000000"/>
                <w:sz w:val="12"/>
              </w:rPr>
              <w:t>(1)</w:t>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299,964,510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55,786,865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186,551,397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55,718,926</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Comprehensive loss: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(42,051)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(15,140)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(62,655)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(27,345)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Cumulative translation adjustment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Net comprehensive loss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(41,597)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(14,224)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(62,418)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(26,366)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lineRule="auto" w:line="321" w:before="0" w:after="16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 xml:space="preserve">Net loss per share and weighted average shares outstanding have been retroactively recast after giving effect to the Reverse Recapitalization. Refer to the Company's 6-K Q2 2026 Quarterly Report filed on August 5, 2026 for additional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21" w:before="0" w:after="0"/>
        <w:jc w:val="center"/>
        <w:rPr>
          <w:rFonts w:ascii="Times New Roman;serif" w:hAnsi="Times New Roman;serif"/>
          <w:b/>
          <w:color w:val="000000"/>
          <w:sz w:val="20"/>
        </w:rPr>
      </w:pPr>
      <w:r>
        <w:rPr>
          <w:rFonts w:ascii="Times New Roman;serif" w:hAnsi="Times New Roman;serif"/>
          <w:b/>
          <w:color w:val="000000"/>
          <w:sz w:val="20"/>
        </w:rPr>
        <w:t>XANADU QUANTUM TECHNOLOGIES LIMITED</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11.9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0" w:after="0"/>
        <w:jc w:val="center"/>
        <w:rPr>
          <w:rFonts w:ascii="Times New Roman;serif" w:hAnsi="Times New Roman;serif"/>
          <w:b/>
          <w:color w:val="000000"/>
          <w:sz w:val="20"/>
        </w:rPr>
      </w:pPr>
      <w:r>
        <w:rPr>
          <w:rFonts w:ascii="Times New Roman;serif" w:hAnsi="Times New Roman;serif"/>
          <w:b/>
          <w:color w:val="000000"/>
          <w:sz w:val="20"/>
        </w:rPr>
        <w:t>Non-GAAP Financial Measure and Selected Cash Flow Data</w:t>
      </w:r>
    </w:p>
    <w:p>
      <w:pPr>
        <w:pStyle w:val="TextBody"/>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(In US $ thousands)</w:t>
      </w:r>
    </w:p>
    <w:p>
      <w:pPr>
        <w:pStyle w:val="TextBody"/>
        <w:bidi w:val="0"/>
        <w:spacing w:before="0" w:after="0"/>
        <w:jc w:val="left"/>
        <w:rPr/>
      </w:pPr>
      <w:r>
        <w:rPr/>
      </w:r>
    </w:p>
    <w:p>
      <w:pPr>
        <w:pStyle w:val="TextBody"/>
        <w:bidi w:val="0"/>
        <w:spacing w:lineRule="auto" w:line="321" w:before="0" w:after="160"/>
        <w:jc w:val="left"/>
        <w:rPr>
          <w:rFonts w:ascii="Times New Roman;serif" w:hAnsi="Times New Roman;serif"/>
          <w:b/>
          <w:i/>
          <w:color w:val="000000"/>
          <w:sz w:val="18"/>
        </w:rPr>
      </w:pPr>
      <w:r>
        <w:rPr>
          <w:rFonts w:ascii="Times New Roman;serif" w:hAnsi="Times New Roman;serif"/>
          <w:b/>
          <w:i/>
          <w:color w:val="000000"/>
          <w:sz w:val="18"/>
        </w:rPr>
        <w:t>Reconciliation of Non-GAAP Financial Measure Adjusted EBITDA:</w:t>
      </w:r>
    </w:p>
    <w:tbl>
      <w:tblPr>
        <w:tblW w:w="8917" w:type="dxa"/>
        <w:jc w:val="center"/>
        <w:tblInd w:w="0" w:type="dxa"/>
        <w:tblLayout w:type="fixed"/>
        <w:tblCellMar>
          <w:top w:w="28" w:type="dxa"/>
          <w:left w:w="28" w:type="dxa"/>
          <w:bottom w:w="28" w:type="dxa"/>
          <w:right w:w="28" w:type="dxa"/>
        </w:tblCellMar>
      </w:tblPr>
      <w:tblGrid>
        <w:gridCol w:w="1312"/>
        <w:gridCol w:w="1152"/>
        <w:gridCol w:w="1166"/>
        <w:gridCol w:w="196"/>
        <w:gridCol w:w="721"/>
        <w:gridCol w:w="109"/>
        <w:gridCol w:w="109"/>
        <w:gridCol w:w="109"/>
        <w:gridCol w:w="109"/>
        <w:gridCol w:w="196"/>
        <w:gridCol w:w="721"/>
        <w:gridCol w:w="109"/>
        <w:gridCol w:w="109"/>
        <w:gridCol w:w="109"/>
        <w:gridCol w:w="109"/>
        <w:gridCol w:w="196"/>
        <w:gridCol w:w="721"/>
        <w:gridCol w:w="109"/>
        <w:gridCol w:w="109"/>
        <w:gridCol w:w="109"/>
        <w:gridCol w:w="109"/>
        <w:gridCol w:w="196"/>
        <w:gridCol w:w="721"/>
        <w:gridCol w:w="311"/>
      </w:tblGrid>
      <w:tr>
        <w:trPr/>
        <w:tc>
          <w:tcPr>
            <w:tcW w:w="1312"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231F2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(62,655)</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(27,345)</w:t>
            </w:r>
          </w:p>
        </w:tc>
        <w:tc>
          <w:tcPr>
            <w:tcW w:w="31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Excluding:</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2,535 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18"/>
              </w:rPr>
              <w:t xml:space="preserve">Change in fair value of financial instruments </w:t>
            </w:r>
            <w:r>
              <w:rPr>
                <w:rFonts w:ascii="Times New Roman;serif" w:hAnsi="Times New Roman;serif"/>
                <w:b w:val="false"/>
                <w:color w:val="000000"/>
                <w:sz w:val="12"/>
              </w:rPr>
              <w:t>(1)</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expense,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18"/>
              </w:rPr>
              <w:t xml:space="preserve">Other (income) expense, net </w:t>
            </w:r>
            <w:r>
              <w:rPr>
                <w:rFonts w:ascii="Times New Roman;serif" w:hAnsi="Times New Roman;serif"/>
                <w:b w:val="false"/>
                <w:color w:val="000000"/>
                <w:sz w:val="12"/>
              </w:rPr>
              <w:t>(2)</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18"/>
              </w:rPr>
              <w:t>Non-recurring expenses</w:t>
            </w:r>
            <w:r>
              <w:rPr>
                <w:color w:val="000000"/>
              </w:rPr>
              <w:t xml:space="preserve"> </w:t>
            </w:r>
            <w:r>
              <w:rPr>
                <w:rFonts w:ascii="Times New Roman;serif" w:hAnsi="Times New Roman;serif"/>
                <w:b w:val="false"/>
                <w:color w:val="000000"/>
                <w:sz w:val="12"/>
              </w:rPr>
              <w:t>(3)</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(21,333)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(35,214)</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(24,046)</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Aptos;sans-serif" w:hAnsi="Aptos;sans-serif"/>
          <w:b w:val="false"/>
          <w:color w:val="000000"/>
          <w:sz w:val="24"/>
        </w:rPr>
      </w:pPr>
      <w:r>
        <w:rPr>
          <w:rFonts w:ascii="Aptos;sans-serif" w:hAnsi="Aptos;sans-serif"/>
          <w:b w:val="false"/>
          <w:color w:val="000000"/>
          <w:sz w:val="24"/>
        </w:rPr>
        <w:t>__________</w:t>
      </w:r>
    </w:p>
    <w:p>
      <w:pPr>
        <w:pStyle w:val="TextBody"/>
        <w:bidi w:val="0"/>
        <w:spacing w:lineRule="auto" w:line="288" w:before="120" w:after="12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Includes the gain (loss) on the fair value of the warrant, earn-out share liabilities, and derivative instruments.</w:t>
      </w:r>
    </w:p>
    <w:p>
      <w:pPr>
        <w:pStyle w:val="TextBody"/>
        <w:bidi w:val="0"/>
        <w:spacing w:lineRule="auto" w:line="288" w:before="120" w:after="120"/>
        <w:jc w:val="both"/>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Other (income) expense, net primarily consists of foreign exchange gain (loss).</w:t>
      </w:r>
    </w:p>
    <w:p>
      <w:pPr>
        <w:pStyle w:val="TextBody"/>
        <w:bidi w:val="0"/>
        <w:spacing w:lineRule="auto" w:line="288" w:before="120" w:after="120"/>
        <w:jc w:val="both"/>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Non-recurring expenses include professional fees such as legal, consulting, accounting and advisory fees incurred in connection with indirect costs related to the Reverse Recapitalization and PIPE Transaction, public offering, and the SATM Facility.</w:t>
      </w:r>
    </w:p>
    <w:p>
      <w:pPr>
        <w:pStyle w:val="TextBody"/>
        <w:bidi w:val="0"/>
        <w:spacing w:before="0" w:after="0"/>
        <w:jc w:val="both"/>
        <w:rPr/>
      </w:pPr>
      <w:r>
        <w:rPr/>
      </w:r>
    </w:p>
    <w:p>
      <w:pPr>
        <w:pStyle w:val="TextBody"/>
        <w:bidi w:val="0"/>
        <w:spacing w:lineRule="auto" w:line="321" w:before="0" w:after="160"/>
        <w:jc w:val="both"/>
        <w:rPr>
          <w:rFonts w:ascii="Times New Roman;serif" w:hAnsi="Times New Roman;serif"/>
          <w:b/>
          <w:i/>
          <w:color w:val="000000"/>
          <w:sz w:val="18"/>
        </w:rPr>
      </w:pPr>
      <w:r>
        <w:rPr>
          <w:rFonts w:ascii="Times New Roman;serif" w:hAnsi="Times New Roman;serif"/>
          <w:b/>
          <w:i/>
          <w:color w:val="000000"/>
          <w:sz w:val="18"/>
        </w:rPr>
        <w:t>Selected Consolidated Cash Flow Data</w:t>
      </w:r>
    </w:p>
    <w:tbl>
      <w:tblPr>
        <w:tblW w:w="8858" w:type="dxa"/>
        <w:jc w:val="left"/>
        <w:tblInd w:w="0" w:type="dxa"/>
        <w:tblLayout w:type="fixed"/>
        <w:tblCellMar>
          <w:top w:w="28" w:type="dxa"/>
          <w:left w:w="28" w:type="dxa"/>
          <w:bottom w:w="28" w:type="dxa"/>
          <w:right w:w="28" w:type="dxa"/>
        </w:tblCellMar>
      </w:tblPr>
      <w:tblGrid>
        <w:gridCol w:w="2397"/>
        <w:gridCol w:w="2105"/>
        <w:gridCol w:w="2112"/>
        <w:gridCol w:w="196"/>
        <w:gridCol w:w="631"/>
        <w:gridCol w:w="109"/>
        <w:gridCol w:w="109"/>
        <w:gridCol w:w="109"/>
        <w:gridCol w:w="109"/>
        <w:gridCol w:w="196"/>
        <w:gridCol w:w="631"/>
        <w:gridCol w:w="154"/>
      </w:tblGrid>
      <w:tr>
        <w:trPr/>
        <w:tc>
          <w:tcPr>
            <w:tcW w:w="2397"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231F2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pPr>
            <w:r>
              <w:rPr>
                <w:rFonts w:ascii="Times New Roman;serif" w:hAnsi="Times New Roman;serif"/>
                <w:b w:val="false"/>
                <w:color w:val="000000"/>
                <w:sz w:val="18"/>
              </w:rPr>
              <w:t>Purchase</w:t>
            </w:r>
            <w:r>
              <w:rPr>
                <w:color w:val="000000"/>
              </w:rPr>
              <w:t xml:space="preserve"> </w:t>
            </w:r>
            <w:r>
              <w:rPr>
                <w:rFonts w:ascii="Times New Roman;serif" w:hAnsi="Times New Roman;serif"/>
                <w:b w:val="false"/>
                <w:color w:val="000000"/>
                <w:sz w:val="18"/>
              </w:rPr>
              <w:t>of</w:t>
            </w:r>
            <w:r>
              <w:rPr>
                <w:color w:val="000000"/>
              </w:rPr>
              <w:t xml:space="preserve"> </w:t>
            </w:r>
            <w:r>
              <w:rPr>
                <w:rFonts w:ascii="Times New Roman;serif" w:hAnsi="Times New Roman;serif"/>
                <w:b w:val="false"/>
                <w:color w:val="000000"/>
                <w:sz w:val="18"/>
              </w:rPr>
              <w:t>property</w:t>
            </w:r>
            <w:r>
              <w:rPr>
                <w:color w:val="000000"/>
              </w:rPr>
              <w:t xml:space="preserve"> </w:t>
            </w:r>
            <w:r>
              <w:rPr>
                <w:rFonts w:ascii="Times New Roman;serif" w:hAnsi="Times New Roman;serif"/>
                <w:b w:val="false"/>
                <w:color w:val="000000"/>
                <w:sz w:val="18"/>
              </w:rPr>
              <w:t>and</w:t>
            </w:r>
            <w:r>
              <w:rPr>
                <w:color w:val="000000"/>
              </w:rPr>
              <w:t xml:space="preserve"> </w:t>
            </w:r>
            <w:r>
              <w:rPr>
                <w:rFonts w:ascii="Times New Roman;serif" w:hAnsi="Times New Roman;serif"/>
                <w:b w:val="false"/>
                <w:color w:val="000000"/>
                <w:sz w:val="18"/>
              </w:rPr>
              <w:t>equipment, including equipment deposits ("capital expenditures")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(6,399)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(4,320)</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Exhibit 99.2</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6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ind w:left="0" w:right="0" w:firstLine="720"/>
        <w:jc w:val="left"/>
        <w:rPr/>
      </w:pPr>
      <w:r>
        <w:rPr/>
      </w:r>
    </w:p>
    <w:p>
      <w:pPr>
        <w:pStyle w:val="TextBody"/>
        <w:bidi w:val="0"/>
        <w:spacing w:before="0" w:after="160"/>
        <w:ind w:left="0" w:right="0" w:firstLine="720"/>
        <w:jc w:val="center"/>
        <w:rPr/>
      </w:pPr>
      <w:r>
        <w:rPr/>
        <w:drawing>
          <wp:inline distT="0" distB="0" distL="0" distR="0">
            <wp:extent cx="3762375" cy="1000125"/>
            <wp:effectExtent l="0" t="0" r="0" b="0"/>
            <wp:docPr id="1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 descr=""/>
                    <pic:cNvPicPr>
                      <a:picLocks noChangeAspect="1" noChangeArrowheads="1"/>
                    </pic:cNvPicPr>
                  </pic:nvPicPr>
                  <pic:blipFill>
                    <a:blip r:embed="rId2"/>
                    <a:stretch>
                      <a:fillRect/>
                    </a:stretch>
                  </pic:blipFill>
                  <pic:spPr bwMode="auto">
                    <a:xfrm>
                      <a:off x="0" y="0"/>
                      <a:ext cx="3762375" cy="1000125"/>
                    </a:xfrm>
                    <a:prstGeom prst="rect">
                      <a:avLst/>
                    </a:prstGeom>
                  </pic:spPr>
                </pic:pic>
              </a:graphicData>
            </a:graphic>
          </wp:inline>
        </w:drawing>
      </w:r>
      <w:bookmarkStart w:id="0" w:name="i-1"/>
      <w:bookmarkEnd w:id="0"/>
    </w:p>
    <w:p>
      <w:pPr>
        <w:pStyle w:val="TextBody"/>
        <w:bidi w:val="0"/>
        <w:spacing w:lineRule="auto" w:line="288" w:before="120" w:after="120"/>
        <w:ind w:left="0" w:right="0" w:firstLine="720"/>
        <w:jc w:val="center"/>
        <w:rPr>
          <w:rFonts w:ascii="Times New Roman;serif" w:hAnsi="Times New Roman;serif"/>
          <w:b/>
          <w:color w:val="000000"/>
          <w:sz w:val="22"/>
        </w:rPr>
      </w:pPr>
      <w:r>
        <w:rPr>
          <w:rFonts w:ascii="Times New Roman;serif" w:hAnsi="Times New Roman;serif"/>
          <w:b/>
          <w:color w:val="000000"/>
          <w:sz w:val="22"/>
        </w:rPr>
        <w:t>Xanadu Quantum Technologies Limited</w:t>
      </w:r>
    </w:p>
    <w:p>
      <w:pPr>
        <w:pStyle w:val="TextBody"/>
        <w:bidi w:val="0"/>
        <w:spacing w:lineRule="auto" w:line="288" w:before="120" w:after="120"/>
        <w:jc w:val="center"/>
        <w:rPr>
          <w:rFonts w:ascii="Times New Roman;serif" w:hAnsi="Times New Roman;serif"/>
          <w:b w:val="false"/>
          <w:color w:val="000000"/>
          <w:sz w:val="22"/>
        </w:rPr>
      </w:pPr>
      <w:r>
        <w:rPr>
          <w:rFonts w:ascii="Times New Roman;serif" w:hAnsi="Times New Roman;serif"/>
          <w:b w:val="false"/>
          <w:color w:val="000000"/>
          <w:sz w:val="22"/>
        </w:rPr>
        <w:t xml:space="preserve">Quarterly Report </w:t>
      </w:r>
    </w:p>
    <w:p>
      <w:pPr>
        <w:pStyle w:val="TextBody"/>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Unaudited Condensed Consolidated Financial Statements</w:t>
      </w:r>
    </w:p>
    <w:p>
      <w:pPr>
        <w:pStyle w:val="TextBody"/>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For the three and six months ended June 30, 2026 and 2025</w:t>
      </w:r>
    </w:p>
    <w:p>
      <w:pPr>
        <w:pStyle w:val="TextBody"/>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August 5,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6840"/>
                <wp:effectExtent l="0" t="0" r="0" b="0"/>
                <wp:wrapNone/>
                <wp:docPr id="12"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231F20"/>
          <w:sz w:val="20"/>
        </w:rPr>
        <w:t>XANADU</w:t>
      </w:r>
      <w:r>
        <w:rPr>
          <w:color w:val="231F20"/>
        </w:rPr>
        <w:t xml:space="preserve"> </w:t>
      </w:r>
      <w:r>
        <w:rPr>
          <w:rFonts w:ascii="Times New Roman;serif" w:hAnsi="Times New Roman;serif"/>
          <w:b/>
          <w:color w:val="231F20"/>
          <w:sz w:val="20"/>
        </w:rPr>
        <w:t>QUANTUM</w:t>
      </w:r>
      <w:r>
        <w:rPr>
          <w:color w:val="231F20"/>
        </w:rPr>
        <w:t xml:space="preserve"> </w:t>
      </w:r>
      <w:r>
        <w:rPr>
          <w:rFonts w:ascii="Times New Roman;serif" w:hAnsi="Times New Roman;serif"/>
          <w:b/>
          <w:color w:val="231F20"/>
          <w:sz w:val="20"/>
        </w:rPr>
        <w:t>TECHNOLOGIES</w:t>
      </w:r>
      <w:r>
        <w:rPr>
          <w:color w:val="231F20"/>
        </w:rPr>
        <w:t xml:space="preserve"> </w:t>
      </w:r>
      <w:r>
        <w:rPr>
          <w:rFonts w:ascii="Times New Roman;serif" w:hAnsi="Times New Roman;serif"/>
          <w:b/>
          <w:color w:val="231F20"/>
          <w:sz w:val="20"/>
        </w:rPr>
        <w:t>LIMITED</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FORM 6-K QUARTERLY REPORT</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TABLE OF CONTENTS</w:t>
      </w:r>
    </w:p>
    <w:p>
      <w:pPr>
        <w:pStyle w:val="TextBody"/>
        <w:bidi w:val="0"/>
        <w:spacing w:before="0" w:after="0"/>
        <w:jc w:val="center"/>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64"/>
        <w:gridCol w:w="3037"/>
        <w:gridCol w:w="3046"/>
        <w:gridCol w:w="192"/>
        <w:gridCol w:w="192"/>
        <w:gridCol w:w="274"/>
      </w:tblGrid>
      <w:tr>
        <w:trPr/>
        <w:tc>
          <w:tcPr>
            <w:tcW w:w="3464" w:type="dxa"/>
            <w:tcBorders/>
            <w:vAlign w:val="center"/>
          </w:tcPr>
          <w:p>
            <w:pPr>
              <w:pStyle w:val="TableContents"/>
              <w:bidi w:val="0"/>
              <w:spacing w:before="0" w:after="283"/>
              <w:jc w:val="left"/>
              <w:rPr>
                <w:sz w:val="4"/>
                <w:szCs w:val="4"/>
              </w:rPr>
            </w:pPr>
            <w:r>
              <w:rPr>
                <w:sz w:val="4"/>
                <w:szCs w:val="4"/>
              </w:rPr>
            </w:r>
          </w:p>
        </w:tc>
        <w:tc>
          <w:tcPr>
            <w:tcW w:w="3037"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9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Page </w:t>
            </w:r>
          </w:p>
        </w:tc>
      </w:tr>
      <w:tr>
        <w:trPr/>
        <w:tc>
          <w:tcPr>
            <w:tcW w:w="9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10a8248617bd45b7b3f936da46fe7d6f_10">
              <w:r>
                <w:rPr>
                  <w:rStyle w:val="InternetLink"/>
                  <w:rFonts w:ascii="Times New Roman;serif" w:hAnsi="Times New Roman;serif"/>
                  <w:b/>
                  <w:color w:val="0000FF"/>
                  <w:sz w:val="20"/>
                  <w:u w:val="single"/>
                </w:rPr>
                <w:t>Financial Statements</w:t>
              </w:r>
            </w:hyperlink>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10a8248617bd45b7b3f936da46fe7d6f_13">
              <w:r>
                <w:rPr>
                  <w:rStyle w:val="InternetLink"/>
                  <w:rFonts w:ascii="Times New Roman;serif" w:hAnsi="Times New Roman;serif"/>
                  <w:b w:val="false"/>
                  <w:color w:val="0000FF"/>
                  <w:sz w:val="20"/>
                  <w:u w:val="single"/>
                </w:rPr>
                <w:t>Consolidated Balance Sheets - June 30, 2026 and December 31, 2025</w:t>
              </w:r>
            </w:hyperlink>
          </w:p>
        </w:tc>
        <w:tc>
          <w:tcPr>
            <w:tcW w:w="65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a8248617bd45b7b3f936da46fe7d6f_13">
              <w:r>
                <w:rPr>
                  <w:rStyle w:val="InternetLink"/>
                  <w:rFonts w:ascii="Arial;sans-serif" w:hAnsi="Arial;sans-serif"/>
                  <w:b w:val="false"/>
                  <w:color w:val="0000FF"/>
                  <w:sz w:val="20"/>
                  <w:u w:val="single"/>
                </w:rPr>
                <w:t>6</w:t>
              </w:r>
            </w:hyperlink>
          </w:p>
        </w:tc>
      </w:tr>
      <w:tr>
        <w:trPr/>
        <w:tc>
          <w:tcPr>
            <w:tcW w:w="9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10a8248617bd45b7b3f936da46fe7d6f_16">
              <w:r>
                <w:rPr>
                  <w:rStyle w:val="InternetLink"/>
                  <w:rFonts w:ascii="Times New Roman;serif" w:hAnsi="Times New Roman;serif"/>
                  <w:b w:val="false"/>
                  <w:color w:val="0000FF"/>
                  <w:sz w:val="20"/>
                  <w:u w:val="single"/>
                </w:rPr>
                <w:t>Consolidated Statements of Operations and Comprehensive Loss - Three and Six Months Ended June 30, 2026 and 2025</w:t>
              </w:r>
            </w:hyperlink>
          </w:p>
        </w:tc>
        <w:tc>
          <w:tcPr>
            <w:tcW w:w="65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a8248617bd45b7b3f936da46fe7d6f_16">
              <w:r>
                <w:rPr>
                  <w:rStyle w:val="InternetLink"/>
                  <w:rFonts w:ascii="Arial;sans-serif" w:hAnsi="Arial;sans-serif"/>
                  <w:b w:val="false"/>
                  <w:color w:val="0000FF"/>
                  <w:sz w:val="20"/>
                  <w:u w:val="single"/>
                </w:rPr>
                <w:t>7</w:t>
              </w:r>
            </w:hyperlink>
          </w:p>
        </w:tc>
      </w:tr>
      <w:tr>
        <w:trPr/>
        <w:tc>
          <w:tcPr>
            <w:tcW w:w="9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10a8248617bd45b7b3f936da46fe7d6f_19">
              <w:r>
                <w:rPr>
                  <w:rStyle w:val="InternetLink"/>
                  <w:rFonts w:ascii="Times New Roman;serif" w:hAnsi="Times New Roman;serif"/>
                  <w:b w:val="false"/>
                  <w:color w:val="0000FF"/>
                  <w:sz w:val="20"/>
                  <w:u w:val="single"/>
                </w:rPr>
                <w:t>Condensed Consolidated Statements of Cash Flows - Six Months Ended June 30, 2026 and 2025</w:t>
              </w:r>
            </w:hyperlink>
          </w:p>
        </w:tc>
        <w:tc>
          <w:tcPr>
            <w:tcW w:w="65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a8248617bd45b7b3f936da46fe7d6f_19">
              <w:r>
                <w:rPr>
                  <w:rStyle w:val="InternetLink"/>
                  <w:rFonts w:ascii="Arial;sans-serif" w:hAnsi="Arial;sans-serif"/>
                  <w:b w:val="false"/>
                  <w:color w:val="0000FF"/>
                  <w:sz w:val="20"/>
                  <w:u w:val="single"/>
                </w:rPr>
                <w:t>8</w:t>
              </w:r>
            </w:hyperlink>
          </w:p>
        </w:tc>
      </w:tr>
      <w:tr>
        <w:trPr/>
        <w:tc>
          <w:tcPr>
            <w:tcW w:w="9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10a8248617bd45b7b3f936da46fe7d6f_22">
              <w:r>
                <w:rPr>
                  <w:rStyle w:val="InternetLink"/>
                  <w:rFonts w:ascii="Times New Roman;serif" w:hAnsi="Times New Roman;serif"/>
                  <w:b w:val="false"/>
                  <w:color w:val="0000FF"/>
                  <w:sz w:val="20"/>
                  <w:u w:val="single"/>
                </w:rPr>
                <w:t>Consolidated Statements of Shareholders' Equity - Three and Six Months Ended June 30, 2026 and 2025</w:t>
              </w:r>
            </w:hyperlink>
          </w:p>
        </w:tc>
        <w:tc>
          <w:tcPr>
            <w:tcW w:w="65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a8248617bd45b7b3f936da46fe7d6f_22">
              <w:r>
                <w:rPr>
                  <w:rStyle w:val="InternetLink"/>
                  <w:rFonts w:ascii="Arial;sans-serif" w:hAnsi="Arial;sans-serif"/>
                  <w:b w:val="false"/>
                  <w:color w:val="0000FF"/>
                  <w:sz w:val="20"/>
                  <w:u w:val="single"/>
                </w:rPr>
                <w:t>10</w:t>
              </w:r>
            </w:hyperlink>
          </w:p>
        </w:tc>
      </w:tr>
      <w:tr>
        <w:trPr/>
        <w:tc>
          <w:tcPr>
            <w:tcW w:w="9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10a8248617bd45b7b3f936da46fe7d6f_28">
              <w:r>
                <w:rPr>
                  <w:rStyle w:val="InternetLink"/>
                  <w:rFonts w:ascii="Times New Roman;serif" w:hAnsi="Times New Roman;serif"/>
                  <w:b w:val="false"/>
                  <w:color w:val="0000FF"/>
                  <w:sz w:val="20"/>
                  <w:u w:val="single"/>
                </w:rPr>
                <w:t>Notes to Condensed Consolidated Financial Statements</w:t>
              </w:r>
            </w:hyperlink>
          </w:p>
        </w:tc>
        <w:tc>
          <w:tcPr>
            <w:tcW w:w="65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a8248617bd45b7b3f936da46fe7d6f_28">
              <w:r>
                <w:rPr>
                  <w:rStyle w:val="InternetLink"/>
                  <w:rFonts w:ascii="Arial;sans-serif" w:hAnsi="Arial;sans-serif"/>
                  <w:b w:val="false"/>
                  <w:color w:val="0000FF"/>
                  <w:sz w:val="20"/>
                  <w:u w:val="single"/>
                </w:rPr>
                <w:t>13</w:t>
              </w:r>
            </w:hyperlink>
          </w:p>
        </w:tc>
      </w:tr>
      <w:tr>
        <w:trPr/>
        <w:tc>
          <w:tcPr>
            <w:tcW w:w="9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a8248617bd45b7b3f936da46fe7d6f_8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65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a8248617bd45b7b3f936da46fe7d6f_88">
              <w:r>
                <w:rPr>
                  <w:rStyle w:val="InternetLink"/>
                  <w:rFonts w:ascii="Arial;sans-serif" w:hAnsi="Arial;sans-serif"/>
                  <w:b w:val="false"/>
                  <w:color w:val="0000FF"/>
                  <w:sz w:val="20"/>
                  <w:u w:val="single"/>
                </w:rPr>
                <w:t>42</w:t>
              </w:r>
            </w:hyperlink>
          </w:p>
        </w:tc>
      </w:tr>
      <w:tr>
        <w:trPr/>
        <w:tc>
          <w:tcPr>
            <w:tcW w:w="9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6840"/>
                <wp:effectExtent l="0" t="0" r="0" b="0"/>
                <wp:wrapNone/>
                <wp:docPr id="13"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ind w:left="0" w:right="0" w:hanging="480"/>
        <w:jc w:val="center"/>
        <w:rPr>
          <w:rFonts w:ascii="Times New Roman;serif" w:hAnsi="Times New Roman;serif"/>
          <w:b/>
          <w:color w:val="000000"/>
          <w:sz w:val="22"/>
        </w:rPr>
      </w:pPr>
      <w:r>
        <w:rPr>
          <w:rFonts w:ascii="Times New Roman;serif" w:hAnsi="Times New Roman;serif"/>
          <w:b/>
          <w:color w:val="000000"/>
          <w:sz w:val="22"/>
        </w:rPr>
        <w:t>CAUTIONARY NOTE REGARDING FORWARD-LOOKING STATEMENTS</w:t>
      </w:r>
    </w:p>
    <w:p>
      <w:pPr>
        <w:pStyle w:val="TextBody"/>
        <w:bidi w:val="0"/>
        <w:spacing w:before="0" w:after="0"/>
        <w:jc w:val="left"/>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Some of the statements contained in this Quarterly Report may constitute “forward-looking statements” for purposes of U.S. federal securities laws and “forward-looking information” for purposes of applicable Canadian securities laws (collectively, “forward-looking statements”). Forward-looking statements relate to expectations, beliefs, projections, future plans and strategies, anticipated events or trends and similar expressions concerning matters that are not historical facts. Forward-looking statements reflect our current views with respect to, among other things, our capital resources, performance and results of operations. Likewise, all of our statements regarding anticipated growth in operations, anticipated market conditions, demographics and results of operations are forward-looking statements. In some cases, you can identify these forward-looking statements by the use of terminology such as “outlook,” “believes,” “expects,” “expected,” “potential,” “continues,” “may,” “will,” “should,” “could,” “seeks,” “approximately,” “predicts,” “intends,” “plans,” “estimates,” “anticipates,” “anticipated,” “projected,” “future,” or the negative version of these words or other comparable words or phrases.</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contained in this Quarterly Report reflect our current views about future events and are subject to numerous known and unknown risks, uncertainties, assumptions and changes in circumstances that may cause actual results to differ significantly from those expressed in any forward-looking statement. In particular, this Quarterly Report contains forward-looking statements pertaining to changes in our strategy, future operations, financial position, estimated revenues and losses, projected costs, prospects and plans; the implementation, market acceptance and success of our business model, growth strategy and opportunities, and our ability to commercialize our quantum computing technology; our expectations with respect to market opportunity and market growth; the expected benefits of and ability to maintain and enter into new contracts, awards and other relationships, partnerships or collaborations with other businesses, governments and government entities; the potential for our quantum computing technology to achieve quantum advantage; our ability to achieve timing and product development milestones on our product roadmap; our ability to attract and retain qualified employees and management; our expectations regarding our ability to obtain and maintain intellectual property protection and not infringe on the rights of others; expectations regarding the time during which we will be an emerging growth company under the the Jumpstart Our Business Startups Act of 2012 (the "JOBS Act"); our future capital requirements and sources and uses of cash; our ability to obtain funding for our operations and future growth; our ability to draw down amounts under our Standby Equity Purchase Agreement with YA II PN, LTD., our ability to maintain the listing of the Class B Subordinate Voting Shares on the Nasdaq Stock Market (the "Nasdaq"), the Toronto Stock Exchange (the "TSX") or any other national exchange; the effects of competition on our future business; the impact of and changes in governmental regulations, tax laws and rates, and accounting guidance; the effectiveness of our internal controls and our corporate policies and procedures; expansion plans and opportunities; lease payments and liabilities; the SATM (defined below), including the issuance of Class B Subordinate Voting Shares and promissory notes thereunder; details of government funding, including with respect to Project OPTIMISM; the sufficiency of our existing cash and cash equivalents; our expectation with respect to growing U.S. headcount and the benefits of the Albany expansion; the expected benefits of the algorithmic breakthrough in Quantum Read Only Memory; and the outcome of any known and unknown litigation and regulatory proceedings.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do not guarantee that the events described will happen as described (or that they will happen at all). The following factors, among others, could cause actual results and future events to differ materially from those set forth or contemplated in the forward-looking statements:</w:t>
      </w:r>
    </w:p>
    <w:p>
      <w:pPr>
        <w:pStyle w:val="TextBody"/>
        <w:bidi w:val="0"/>
        <w:spacing w:lineRule="auto" w:line="288" w:before="120" w:after="120"/>
        <w:jc w:val="both"/>
        <w:rPr>
          <w:color w:val="000000"/>
        </w:rPr>
      </w:pPr>
      <w:r>
        <w:rPr>
          <w:color w:val="000000"/>
        </w:rPr>
        <w:t xml:space="preserve">● </w:t>
      </w:r>
      <w:r>
        <w:rPr>
          <w:rFonts w:ascii="Times New Roman;serif" w:hAnsi="Times New Roman;serif"/>
          <w:b w:val="false"/>
          <w:color w:val="000000"/>
          <w:sz w:val="20"/>
        </w:rPr>
        <w:t>general economic uncertainty;</w:t>
      </w:r>
    </w:p>
    <w:p>
      <w:pPr>
        <w:pStyle w:val="TextBody"/>
        <w:bidi w:val="0"/>
        <w:spacing w:lineRule="auto" w:line="288" w:before="120" w:after="120"/>
        <w:jc w:val="both"/>
        <w:rPr>
          <w:color w:val="000000"/>
        </w:rPr>
      </w:pPr>
      <w:r>
        <w:rPr>
          <w:color w:val="000000"/>
        </w:rPr>
        <w:t xml:space="preserve">● </w:t>
      </w:r>
      <w:r>
        <w:rPr>
          <w:rFonts w:ascii="Times New Roman;serif" w:hAnsi="Times New Roman;serif"/>
          <w:b w:val="false"/>
          <w:color w:val="000000"/>
          <w:sz w:val="20"/>
        </w:rPr>
        <w:t>the effects of pandemics, public health emergencies, ongoing conflicts or similar force majeure events on the global economy;</w:t>
      </w:r>
    </w:p>
    <w:p>
      <w:pPr>
        <w:pStyle w:val="TextBody"/>
        <w:bidi w:val="0"/>
        <w:spacing w:lineRule="auto" w:line="288" w:before="120" w:after="120"/>
        <w:jc w:val="both"/>
        <w:rPr>
          <w:color w:val="000000"/>
        </w:rPr>
      </w:pPr>
      <w:r>
        <w:rPr>
          <w:color w:val="000000"/>
        </w:rPr>
        <w:t xml:space="preserve">● </w:t>
      </w:r>
      <w:r>
        <w:rPr>
          <w:rFonts w:ascii="Times New Roman;serif" w:hAnsi="Times New Roman;serif"/>
          <w:b w:val="false"/>
          <w:color w:val="000000"/>
          <w:sz w:val="20"/>
        </w:rPr>
        <w:t>the volatility of currency exchange rates;</w:t>
      </w:r>
    </w:p>
    <w:p>
      <w:pPr>
        <w:pStyle w:val="TextBody"/>
        <w:bidi w:val="0"/>
        <w:spacing w:lineRule="auto" w:line="288" w:before="120" w:after="120"/>
        <w:jc w:val="both"/>
        <w:rPr>
          <w:color w:val="000000"/>
        </w:rPr>
      </w:pPr>
      <w:r>
        <w:rPr>
          <w:color w:val="000000"/>
        </w:rPr>
        <w:t xml:space="preserve">● </w:t>
      </w:r>
      <w:r>
        <w:rPr>
          <w:rFonts w:ascii="Times New Roman;serif" w:hAnsi="Times New Roman;serif"/>
          <w:b w:val="false"/>
          <w:color w:val="000000"/>
          <w:sz w:val="20"/>
        </w:rPr>
        <w:t>our ability to obtain and maintain financing arrangements on attractive terms and to commercialize our quantum computing technology;</w:t>
      </w:r>
    </w:p>
    <w:p>
      <w:pPr>
        <w:pStyle w:val="TextBody"/>
        <w:bidi w:val="0"/>
        <w:spacing w:lineRule="auto" w:line="288" w:before="120" w:after="120"/>
        <w:jc w:val="both"/>
        <w:rPr>
          <w:color w:val="000000"/>
        </w:rPr>
      </w:pPr>
      <w:r>
        <w:rPr>
          <w:color w:val="000000"/>
        </w:rPr>
        <w:t xml:space="preserve">● </w:t>
      </w:r>
      <w:r>
        <w:rPr>
          <w:rFonts w:ascii="Times New Roman;serif" w:hAnsi="Times New Roman;serif"/>
          <w:b w:val="false"/>
          <w:color w:val="000000"/>
          <w:sz w:val="20"/>
        </w:rPr>
        <w:t>our ability to manage growth;</w:t>
      </w:r>
    </w:p>
    <w:p>
      <w:pPr>
        <w:pStyle w:val="TextBody"/>
        <w:bidi w:val="0"/>
        <w:spacing w:lineRule="auto" w:line="288" w:before="120" w:after="120"/>
        <w:jc w:val="both"/>
        <w:rPr>
          <w:color w:val="000000"/>
        </w:rPr>
      </w:pPr>
      <w:r>
        <w:rPr>
          <w:color w:val="000000"/>
        </w:rPr>
        <w:t xml:space="preserve">● </w:t>
      </w:r>
      <w:r>
        <w:rPr>
          <w:rFonts w:ascii="Times New Roman;serif" w:hAnsi="Times New Roman;serif"/>
          <w:b w:val="false"/>
          <w:color w:val="000000"/>
          <w:sz w:val="20"/>
        </w:rPr>
        <w:t>our ability to maintain the listing of the Class B Subordinate Voting Shares on the Nasdaq, the TSX, or any other national exchange;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6840"/>
                <wp:effectExtent l="0" t="0" r="0" b="0"/>
                <wp:wrapNone/>
                <wp:docPr id="14"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color w:val="000000"/>
        </w:rPr>
      </w:pPr>
      <w:r>
        <w:rPr>
          <w:color w:val="000000"/>
        </w:rPr>
        <w:t xml:space="preserve">● </w:t>
      </w:r>
      <w:r>
        <w:rPr>
          <w:rFonts w:ascii="Times New Roman;serif" w:hAnsi="Times New Roman;serif"/>
          <w:b w:val="false"/>
          <w:color w:val="000000"/>
          <w:sz w:val="20"/>
        </w:rPr>
        <w:t>the effects of competition on our future business;</w:t>
      </w:r>
    </w:p>
    <w:p>
      <w:pPr>
        <w:pStyle w:val="TextBody"/>
        <w:bidi w:val="0"/>
        <w:spacing w:lineRule="auto" w:line="288" w:before="120" w:after="120"/>
        <w:jc w:val="both"/>
        <w:rPr>
          <w:color w:val="000000"/>
        </w:rPr>
      </w:pPr>
      <w:r>
        <w:rPr>
          <w:color w:val="000000"/>
        </w:rPr>
        <w:t xml:space="preserve">● </w:t>
      </w:r>
      <w:r>
        <w:rPr>
          <w:rFonts w:ascii="Times New Roman;serif" w:hAnsi="Times New Roman;serif"/>
          <w:b w:val="false"/>
          <w:color w:val="000000"/>
          <w:sz w:val="20"/>
        </w:rPr>
        <w:t>potential disruption in our employee retention, changes in personnel and availability of qualified personnel, including as a result of the Reverse Recapitalization (as defined below);</w:t>
      </w:r>
    </w:p>
    <w:p>
      <w:pPr>
        <w:pStyle w:val="TextBody"/>
        <w:bidi w:val="0"/>
        <w:spacing w:lineRule="auto" w:line="288" w:before="120" w:after="120"/>
        <w:jc w:val="both"/>
        <w:rPr>
          <w:color w:val="000000"/>
        </w:rPr>
      </w:pPr>
      <w:r>
        <w:rPr>
          <w:color w:val="000000"/>
        </w:rPr>
        <w:t xml:space="preserve">● </w:t>
      </w:r>
      <w:r>
        <w:rPr>
          <w:rFonts w:ascii="Times New Roman;serif" w:hAnsi="Times New Roman;serif"/>
          <w:b w:val="false"/>
          <w:color w:val="000000"/>
          <w:sz w:val="20"/>
        </w:rPr>
        <w:t>the impact of and changes in governmental regulations or the enforcement thereof, tax laws and rates, accounting guidance and similar matters in regions in which we operate or will operate in the future;</w:t>
      </w:r>
    </w:p>
    <w:p>
      <w:pPr>
        <w:pStyle w:val="TextBody"/>
        <w:bidi w:val="0"/>
        <w:spacing w:lineRule="auto" w:line="288" w:before="120" w:after="120"/>
        <w:jc w:val="both"/>
        <w:rPr>
          <w:color w:val="000000"/>
        </w:rPr>
      </w:pPr>
      <w:r>
        <w:rPr>
          <w:color w:val="000000"/>
        </w:rPr>
        <w:t xml:space="preserve">● </w:t>
      </w:r>
      <w:r>
        <w:rPr>
          <w:rFonts w:ascii="Times New Roman;serif" w:hAnsi="Times New Roman;serif"/>
          <w:b w:val="false"/>
          <w:color w:val="000000"/>
          <w:sz w:val="20"/>
        </w:rPr>
        <w:t>potential litigation, governmental or regulatory proceedings, investigations or inquiries involving us, including in relation to the Reverse Recapitalization;</w:t>
      </w:r>
    </w:p>
    <w:p>
      <w:pPr>
        <w:pStyle w:val="TextBody"/>
        <w:bidi w:val="0"/>
        <w:spacing w:lineRule="auto" w:line="288" w:before="120" w:after="120"/>
        <w:jc w:val="both"/>
        <w:rPr>
          <w:color w:val="000000"/>
        </w:rPr>
      </w:pPr>
      <w:r>
        <w:rPr>
          <w:color w:val="000000"/>
        </w:rPr>
        <w:t xml:space="preserve">● </w:t>
      </w:r>
      <w:r>
        <w:rPr>
          <w:rFonts w:ascii="Times New Roman;serif" w:hAnsi="Times New Roman;serif"/>
          <w:b w:val="false"/>
          <w:color w:val="000000"/>
          <w:sz w:val="20"/>
        </w:rPr>
        <w:t>international, national or local economic, social or political conditions that could adversely affect us and our business;</w:t>
      </w:r>
    </w:p>
    <w:p>
      <w:pPr>
        <w:pStyle w:val="TextBody"/>
        <w:bidi w:val="0"/>
        <w:spacing w:lineRule="auto" w:line="288" w:before="120" w:after="120"/>
        <w:jc w:val="both"/>
        <w:rPr>
          <w:color w:val="000000"/>
        </w:rPr>
      </w:pPr>
      <w:r>
        <w:rPr>
          <w:color w:val="000000"/>
        </w:rPr>
        <w:t xml:space="preserve">● </w:t>
      </w:r>
      <w:r>
        <w:rPr>
          <w:rFonts w:ascii="Times New Roman;serif" w:hAnsi="Times New Roman;serif"/>
          <w:b w:val="false"/>
          <w:color w:val="000000"/>
          <w:sz w:val="20"/>
        </w:rPr>
        <w:t>the effectiveness of our internal controls and our corporate policies and procedures;</w:t>
      </w:r>
    </w:p>
    <w:p>
      <w:pPr>
        <w:pStyle w:val="TextBody"/>
        <w:bidi w:val="0"/>
        <w:spacing w:lineRule="auto" w:line="288" w:before="120" w:after="120"/>
        <w:jc w:val="both"/>
        <w:rPr>
          <w:color w:val="000000"/>
        </w:rPr>
      </w:pPr>
      <w:r>
        <w:rPr>
          <w:color w:val="000000"/>
        </w:rPr>
        <w:t xml:space="preserve">● </w:t>
      </w:r>
      <w:r>
        <w:rPr>
          <w:rFonts w:ascii="Times New Roman;serif" w:hAnsi="Times New Roman;serif"/>
          <w:b w:val="false"/>
          <w:color w:val="000000"/>
          <w:sz w:val="20"/>
        </w:rPr>
        <w:t>the limited experience of certain members of our management team in operating a public company in the United States and Canada;</w:t>
      </w:r>
    </w:p>
    <w:p>
      <w:pPr>
        <w:pStyle w:val="TextBody"/>
        <w:bidi w:val="0"/>
        <w:spacing w:lineRule="auto" w:line="288" w:before="120" w:after="120"/>
        <w:jc w:val="both"/>
        <w:rPr>
          <w:color w:val="000000"/>
        </w:rPr>
      </w:pPr>
      <w:r>
        <w:rPr>
          <w:color w:val="000000"/>
        </w:rPr>
        <w:t xml:space="preserve">● </w:t>
      </w:r>
      <w:r>
        <w:rPr>
          <w:rFonts w:ascii="Times New Roman;serif" w:hAnsi="Times New Roman;serif"/>
          <w:b w:val="false"/>
          <w:color w:val="000000"/>
          <w:sz w:val="20"/>
        </w:rPr>
        <w:t xml:space="preserve">the volatility of the market price and liquidity of the Xanadu Class B Subordinate Voting Shares; </w:t>
      </w:r>
    </w:p>
    <w:p>
      <w:pPr>
        <w:pStyle w:val="TextBody"/>
        <w:bidi w:val="0"/>
        <w:spacing w:lineRule="auto" w:line="288" w:before="120" w:after="120"/>
        <w:jc w:val="both"/>
        <w:rPr>
          <w:color w:val="000000"/>
        </w:rPr>
      </w:pPr>
      <w:r>
        <w:rPr>
          <w:color w:val="000000"/>
        </w:rPr>
        <w:t xml:space="preserve">● </w:t>
      </w:r>
      <w:r>
        <w:rPr>
          <w:rFonts w:ascii="Times New Roman;serif" w:hAnsi="Times New Roman;serif"/>
          <w:b w:val="false"/>
          <w:color w:val="000000"/>
          <w:sz w:val="20"/>
        </w:rPr>
        <w:t>risks relating to any unforeseen liabilities of the Company;</w:t>
      </w:r>
    </w:p>
    <w:p>
      <w:pPr>
        <w:pStyle w:val="TextBody"/>
        <w:bidi w:val="0"/>
        <w:spacing w:lineRule="auto" w:line="288" w:before="120" w:after="120"/>
        <w:jc w:val="both"/>
        <w:rPr>
          <w:color w:val="000000"/>
        </w:rPr>
      </w:pPr>
      <w:r>
        <w:rPr>
          <w:color w:val="000000"/>
        </w:rPr>
        <w:t xml:space="preserve">● </w:t>
      </w:r>
      <w:r>
        <w:rPr>
          <w:rFonts w:ascii="Times New Roman;serif" w:hAnsi="Times New Roman;serif"/>
          <w:b w:val="false"/>
          <w:color w:val="000000"/>
          <w:sz w:val="20"/>
        </w:rPr>
        <w:t>failure to obtain lender consent, industry partner and other third-party consents and approvals, when required;</w:t>
      </w:r>
    </w:p>
    <w:p>
      <w:pPr>
        <w:pStyle w:val="TextBody"/>
        <w:bidi w:val="0"/>
        <w:spacing w:lineRule="auto" w:line="288" w:before="120" w:after="120"/>
        <w:jc w:val="both"/>
        <w:rPr>
          <w:color w:val="000000"/>
        </w:rPr>
      </w:pPr>
      <w:r>
        <w:rPr>
          <w:color w:val="000000"/>
        </w:rPr>
        <w:t xml:space="preserve">● </w:t>
      </w:r>
      <w:r>
        <w:rPr>
          <w:rFonts w:ascii="Times New Roman;serif" w:hAnsi="Times New Roman;serif"/>
          <w:b w:val="false"/>
          <w:color w:val="000000"/>
          <w:sz w:val="20"/>
        </w:rPr>
        <w:t>changes in our strategy, future operations, financial position, estimated revenues and losses, projected costs, prospects and plans;</w:t>
      </w:r>
    </w:p>
    <w:p>
      <w:pPr>
        <w:pStyle w:val="TextBody"/>
        <w:bidi w:val="0"/>
        <w:spacing w:lineRule="auto" w:line="288" w:before="120" w:after="120"/>
        <w:jc w:val="both"/>
        <w:rPr>
          <w:color w:val="000000"/>
        </w:rPr>
      </w:pPr>
      <w:r>
        <w:rPr>
          <w:color w:val="000000"/>
        </w:rPr>
        <w:t xml:space="preserve">● </w:t>
      </w:r>
      <w:r>
        <w:rPr>
          <w:rFonts w:ascii="Times New Roman;serif" w:hAnsi="Times New Roman;serif"/>
          <w:b w:val="false"/>
          <w:color w:val="000000"/>
          <w:sz w:val="20"/>
        </w:rPr>
        <w:t>our expectations with respect to market opportunity and market growth;</w:t>
      </w:r>
    </w:p>
    <w:p>
      <w:pPr>
        <w:pStyle w:val="TextBody"/>
        <w:bidi w:val="0"/>
        <w:spacing w:lineRule="auto" w:line="288" w:before="120" w:after="120"/>
        <w:jc w:val="both"/>
        <w:rPr>
          <w:color w:val="000000"/>
        </w:rPr>
      </w:pPr>
      <w:r>
        <w:rPr>
          <w:color w:val="000000"/>
        </w:rPr>
        <w:t xml:space="preserve">● </w:t>
      </w:r>
      <w:r>
        <w:rPr>
          <w:rFonts w:ascii="Times New Roman;serif" w:hAnsi="Times New Roman;serif"/>
          <w:b w:val="false"/>
          <w:color w:val="000000"/>
          <w:sz w:val="20"/>
        </w:rPr>
        <w:t>the expected benefits of and ability to maintain and enter into new contracts, awards and other relationships, partnerships or collaborations with other businesses, governments and government entities;</w:t>
      </w:r>
    </w:p>
    <w:p>
      <w:pPr>
        <w:pStyle w:val="TextBody"/>
        <w:bidi w:val="0"/>
        <w:spacing w:lineRule="auto" w:line="288" w:before="120" w:after="120"/>
        <w:jc w:val="both"/>
        <w:rPr>
          <w:color w:val="000000"/>
        </w:rPr>
      </w:pPr>
      <w:r>
        <w:rPr>
          <w:color w:val="000000"/>
        </w:rPr>
        <w:t xml:space="preserve">● </w:t>
      </w:r>
      <w:r>
        <w:rPr>
          <w:rFonts w:ascii="Times New Roman;serif" w:hAnsi="Times New Roman;serif"/>
          <w:b w:val="false"/>
          <w:color w:val="000000"/>
          <w:sz w:val="20"/>
        </w:rPr>
        <w:t>the potential for our quantum computing technology to achieve quantum advantage;</w:t>
      </w:r>
    </w:p>
    <w:p>
      <w:pPr>
        <w:pStyle w:val="TextBody"/>
        <w:bidi w:val="0"/>
        <w:spacing w:lineRule="auto" w:line="288" w:before="120" w:after="120"/>
        <w:jc w:val="both"/>
        <w:rPr>
          <w:color w:val="000000"/>
        </w:rPr>
      </w:pPr>
      <w:r>
        <w:rPr>
          <w:color w:val="000000"/>
        </w:rPr>
        <w:t xml:space="preserve">● </w:t>
      </w:r>
      <w:r>
        <w:rPr>
          <w:rFonts w:ascii="Times New Roman;serif" w:hAnsi="Times New Roman;serif"/>
          <w:b w:val="false"/>
          <w:color w:val="000000"/>
          <w:sz w:val="20"/>
        </w:rPr>
        <w:t>our ability to achieve timing and product development milestones on our product roadmap;</w:t>
      </w:r>
    </w:p>
    <w:p>
      <w:pPr>
        <w:pStyle w:val="TextBody"/>
        <w:bidi w:val="0"/>
        <w:spacing w:lineRule="auto" w:line="288" w:before="120" w:after="120"/>
        <w:jc w:val="both"/>
        <w:rPr>
          <w:color w:val="000000"/>
        </w:rPr>
      </w:pPr>
      <w:r>
        <w:rPr>
          <w:color w:val="000000"/>
        </w:rPr>
        <w:t xml:space="preserve">● </w:t>
      </w:r>
      <w:r>
        <w:rPr>
          <w:rFonts w:ascii="Times New Roman;serif" w:hAnsi="Times New Roman;serif"/>
          <w:b w:val="false"/>
          <w:color w:val="000000"/>
          <w:sz w:val="20"/>
        </w:rPr>
        <w:t>our expectations regarding our ability to obtain and maintain intellectual property protection and not infringe on the rights of others;</w:t>
      </w:r>
    </w:p>
    <w:p>
      <w:pPr>
        <w:pStyle w:val="TextBody"/>
        <w:bidi w:val="0"/>
        <w:spacing w:lineRule="auto" w:line="288" w:before="120" w:after="120"/>
        <w:jc w:val="both"/>
        <w:rPr>
          <w:color w:val="000000"/>
        </w:rPr>
      </w:pPr>
      <w:r>
        <w:rPr>
          <w:color w:val="000000"/>
        </w:rPr>
        <w:t xml:space="preserve">● </w:t>
      </w:r>
      <w:r>
        <w:rPr>
          <w:rFonts w:ascii="Times New Roman;serif" w:hAnsi="Times New Roman;serif"/>
          <w:b w:val="false"/>
          <w:color w:val="000000"/>
          <w:sz w:val="20"/>
        </w:rPr>
        <w:t>expectations regarding the time during which we will be an emerging growth company under the JOBS Act;</w:t>
      </w:r>
    </w:p>
    <w:p>
      <w:pPr>
        <w:pStyle w:val="TextBody"/>
        <w:bidi w:val="0"/>
        <w:spacing w:lineRule="auto" w:line="288" w:before="120" w:after="120"/>
        <w:jc w:val="both"/>
        <w:rPr>
          <w:color w:val="000000"/>
        </w:rPr>
      </w:pPr>
      <w:r>
        <w:rPr>
          <w:color w:val="000000"/>
        </w:rPr>
        <w:t xml:space="preserve">● </w:t>
      </w:r>
      <w:r>
        <w:rPr>
          <w:rFonts w:ascii="Times New Roman;serif" w:hAnsi="Times New Roman;serif"/>
          <w:b w:val="false"/>
          <w:color w:val="000000"/>
          <w:sz w:val="20"/>
        </w:rPr>
        <w:t>our ability to obtain funding for our operations and future growth, and our future capital requirements and sources and uses of cash;</w:t>
      </w:r>
    </w:p>
    <w:p>
      <w:pPr>
        <w:pStyle w:val="TextBody"/>
        <w:bidi w:val="0"/>
        <w:spacing w:lineRule="auto" w:line="288" w:before="120" w:after="120"/>
        <w:jc w:val="both"/>
        <w:rPr>
          <w:color w:val="000000"/>
        </w:rPr>
      </w:pPr>
      <w:r>
        <w:rPr>
          <w:color w:val="000000"/>
        </w:rPr>
        <w:t xml:space="preserve">● </w:t>
      </w:r>
      <w:r>
        <w:rPr>
          <w:rFonts w:ascii="Times New Roman;serif" w:hAnsi="Times New Roman;serif"/>
          <w:b w:val="false"/>
          <w:color w:val="000000"/>
          <w:sz w:val="20"/>
        </w:rPr>
        <w:t xml:space="preserve">expansion plans and opportunities, including risks related to the rollout of the Company’s business and expansion strategy; </w:t>
      </w:r>
    </w:p>
    <w:p>
      <w:pPr>
        <w:pStyle w:val="TextBody"/>
        <w:bidi w:val="0"/>
        <w:spacing w:lineRule="auto" w:line="288" w:before="120" w:after="120"/>
        <w:jc w:val="both"/>
        <w:rPr>
          <w:color w:val="000000"/>
        </w:rPr>
      </w:pPr>
      <w:r>
        <w:rPr>
          <w:color w:val="000000"/>
        </w:rPr>
        <w:t xml:space="preserve">● </w:t>
      </w:r>
      <w:r>
        <w:rPr>
          <w:rFonts w:ascii="Times New Roman;serif" w:hAnsi="Times New Roman;serif"/>
          <w:b w:val="false"/>
          <w:color w:val="000000"/>
          <w:sz w:val="20"/>
        </w:rPr>
        <w:t xml:space="preserve">the need to obtain required approvals from regulatory authorities; </w:t>
      </w:r>
    </w:p>
    <w:p>
      <w:pPr>
        <w:pStyle w:val="TextBody"/>
        <w:bidi w:val="0"/>
        <w:spacing w:lineRule="auto" w:line="288" w:before="120" w:after="120"/>
        <w:jc w:val="both"/>
        <w:rPr>
          <w:color w:val="000000"/>
        </w:rPr>
      </w:pPr>
      <w:r>
        <w:rPr>
          <w:color w:val="000000"/>
        </w:rPr>
        <w:t xml:space="preserve">● </w:t>
      </w:r>
      <w:r>
        <w:rPr>
          <w:rFonts w:ascii="Times New Roman;serif" w:hAnsi="Times New Roman;serif"/>
          <w:b w:val="false"/>
          <w:color w:val="000000"/>
          <w:sz w:val="20"/>
        </w:rPr>
        <w:t xml:space="preserve">our ability to meet the conditions required to issue Xanadu Class B Subordinate Voting Shares pursuant to any equity financing arrangements; </w:t>
      </w:r>
    </w:p>
    <w:p>
      <w:pPr>
        <w:pStyle w:val="TextBody"/>
        <w:bidi w:val="0"/>
        <w:spacing w:lineRule="auto" w:line="288" w:before="120" w:after="120"/>
        <w:jc w:val="both"/>
        <w:rPr>
          <w:color w:val="000000"/>
        </w:rPr>
      </w:pPr>
      <w:r>
        <w:rPr>
          <w:color w:val="000000"/>
        </w:rPr>
        <w:t xml:space="preserve">● </w:t>
      </w:r>
      <w:r>
        <w:rPr>
          <w:rFonts w:ascii="Times New Roman;serif" w:hAnsi="Times New Roman;serif"/>
          <w:b w:val="false"/>
          <w:color w:val="000000"/>
          <w:sz w:val="20"/>
        </w:rPr>
        <w:t>the volatility of the price of the Xanadu Class B Subordinate Voting Shares that may result from future issuance or sales of shares;</w:t>
      </w:r>
    </w:p>
    <w:p>
      <w:pPr>
        <w:pStyle w:val="TextBody"/>
        <w:bidi w:val="0"/>
        <w:spacing w:lineRule="auto" w:line="288" w:before="120" w:after="120"/>
        <w:jc w:val="both"/>
        <w:rPr>
          <w:color w:val="000000"/>
        </w:rPr>
      </w:pPr>
      <w:r>
        <w:rPr>
          <w:color w:val="000000"/>
        </w:rPr>
        <w:t xml:space="preserve">● </w:t>
      </w:r>
      <w:r>
        <w:rPr>
          <w:rFonts w:ascii="Times New Roman;serif" w:hAnsi="Times New Roman;serif"/>
          <w:b w:val="false"/>
          <w:color w:val="000000"/>
          <w:sz w:val="20"/>
        </w:rPr>
        <w:t>the dilution of holders of Xanadu Class B Subordinate Voting Shares resulting from future issuances of shares, including pursuant to equity financing arrangements, the extent of which cannot be guaranteed;</w:t>
      </w:r>
    </w:p>
    <w:p>
      <w:pPr>
        <w:pStyle w:val="TextBody"/>
        <w:bidi w:val="0"/>
        <w:spacing w:lineRule="auto" w:line="288" w:before="120" w:after="120"/>
        <w:jc w:val="both"/>
        <w:rPr>
          <w:color w:val="000000"/>
        </w:rPr>
      </w:pPr>
      <w:r>
        <w:rPr>
          <w:color w:val="000000"/>
        </w:rPr>
        <w:t xml:space="preserve">● </w:t>
      </w:r>
      <w:r>
        <w:rPr>
          <w:rFonts w:ascii="Times New Roman;serif" w:hAnsi="Times New Roman;serif"/>
          <w:b w:val="false"/>
          <w:color w:val="000000"/>
          <w:sz w:val="20"/>
        </w:rPr>
        <w:t xml:space="preserve">risks related to compliance with U.S. and Canadian foreign investment review requirements, including review by the Committee on Foreign Investment in the United States and the Investment Canada Act, and export controls applicable to quantum computing technology; </w:t>
      </w:r>
    </w:p>
    <w:p>
      <w:pPr>
        <w:pStyle w:val="TextBody"/>
        <w:bidi w:val="0"/>
        <w:spacing w:lineRule="auto" w:line="288" w:before="120" w:after="120"/>
        <w:jc w:val="both"/>
        <w:rPr>
          <w:color w:val="000000"/>
        </w:rPr>
      </w:pPr>
      <w:r>
        <w:rPr>
          <w:color w:val="000000"/>
        </w:rPr>
        <w:t xml:space="preserve">● </w:t>
      </w:r>
      <w:r>
        <w:rPr>
          <w:rFonts w:ascii="Times New Roman;serif" w:hAnsi="Times New Roman;serif"/>
          <w:b w:val="false"/>
          <w:color w:val="000000"/>
          <w:sz w:val="20"/>
        </w:rPr>
        <w:t>the impact of changes in international trade relations and tariffs on our supply chain and operations;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6840"/>
                <wp:effectExtent l="0" t="0" r="0" b="0"/>
                <wp:wrapNone/>
                <wp:docPr id="15"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color w:val="000000"/>
        </w:rPr>
      </w:pPr>
      <w:r>
        <w:rPr>
          <w:color w:val="000000"/>
        </w:rPr>
        <w:t xml:space="preserve">● </w:t>
      </w:r>
      <w:r>
        <w:rPr>
          <w:rFonts w:ascii="Times New Roman;serif" w:hAnsi="Times New Roman;serif"/>
          <w:b w:val="false"/>
          <w:color w:val="000000"/>
          <w:sz w:val="20"/>
        </w:rPr>
        <w:t>the risks associated with the rapid expansion of our U.S. operations, including our ability to establish and scale operations in new geographic locations.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contained herein may prove incorrect. These forward-looking statements speak only as of the date of this Quarterly Report and are subject to risks, uncertainties and other factors, which could cause actual results to differ materially from future results expressed, projected or implied by the forward-looking statements. For a further discussion of the risks and other factors that could cause our future results, performance or transactions to differ significantly from those expressed in any forward-looking statements, please see the section entitled “Risk Factors” in our Annual Report on Form 20-F (the "Annual Report") and our filings with the U.S. Securities and Exchange Commission (the “SEC”) (www.sec.gov) and Canadian Securities Administrators (the “CSA”) (www.sedarplus.com). There may be additional risks that we do not presently know or that we currently believe are immaterial, that could also cause actual results to differ from those contained in the forward-looking statements.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Such forward-looking statements are based on a number of estimates and assumptions that we believe are reasonable when made including, but not limited to, assumptions that none of the risks identified in our filings with the SEC (www.sec.gov) and the CSA (www.sedarplus.com) materialize; that there are no unforeseen changes to economic and market conditions, and no significant events occur outside the ordinary course of business. Such estimates and assumptions are made in light of the experience of management and its perception of historical trends, current conditions and expected future developments, as well as other factors believed to be appropriate and reasonable in the circumstances. However, there can be no assurance that such estimates and assumptions will prove to be correct.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Should one or more of these risks or uncertainties materialize, or should any of the assumptions made in making these forward-looking statements prove incorrect, actual results may vary in material respects from those projected in these forward-looking statements. 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Because forward-looking statements are inherently subject to risks and uncertainties, some of which cannot be predicted or quantified and some of which are beyond our control, these forward-looking statements should not be relied upon as guarantees of future events. The events and circumstances reflected in our forward-looking statements may not be achieved or occur and actual future results, levels of activity, performance and events and circumstances could differ materially from those projected in the forward-looking statements. Moreover, we operate in an evolving environment. New risks and uncertainties may emerge from time to time, and management cannot predict all risks and uncertainties. Except as required by applicable law, we do not undertake to publicly update or revise any forward-looking statements contained herein, whether as a result of any new information, future events, changed circumstances or otherwise.</w:t>
      </w:r>
    </w:p>
    <w:p>
      <w:pPr>
        <w:pStyle w:val="TextBody"/>
        <w:bidi w:val="0"/>
        <w:spacing w:before="120" w:after="120"/>
        <w:jc w:val="both"/>
        <w:rPr/>
      </w:pPr>
      <w:r>
        <w:rPr/>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WHERE YOU CAN FIND OTHER INFORMATION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website is www.xanadu.ai. Information contained on our website is not part of this Quarterly Report. Information we furnish or file with the SEC, including our Annual Reports on Form 20-F, Quarterly Reports and Current Reports on Form 6-K, and any amendments to or exhibits included in these reports are available for download, free of charge, on our website soon after such reports are filed with or furnished to the SEC. Our SEC filings, including exhibits furnished therewith, are also available at the SEC’s website at www.sec.gov. Our CSA filings are also available at the CSA’s website at www.sedarplus.com.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6840"/>
                <wp:effectExtent l="0" t="0" r="0" b="0"/>
                <wp:wrapNone/>
                <wp:docPr id="16"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5</w:t>
                      </w:r>
                    </w:p>
                  </w:txbxContent>
                </v:textbox>
                <w10:wrap type="none"/>
              </v:rect>
            </w:pict>
          </mc:Fallback>
        </mc:AlternateContent>
      </w:r>
    </w:p>
    <w:p>
      <w:pPr>
        <w:pStyle w:val="TextBody"/>
        <w:bidi w:val="0"/>
        <w:spacing w:lineRule="auto" w:line="288" w:before="0" w:after="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XANADU QUANTUM TECHNOLOGIES LIMITED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Balance Sheets </w:t>
      </w:r>
    </w:p>
    <w:p>
      <w:pPr>
        <w:pStyle w:val="TextBody"/>
        <w:bidi w:val="0"/>
        <w:spacing w:lineRule="auto" w:line="288" w:before="0" w:after="200"/>
        <w:jc w:val="center"/>
        <w:rPr>
          <w:rFonts w:ascii="Times New Roman;serif" w:hAnsi="Times New Roman;serif"/>
          <w:b/>
          <w:color w:val="231F20"/>
          <w:sz w:val="20"/>
        </w:rPr>
      </w:pPr>
      <w:r>
        <w:rPr>
          <w:rFonts w:ascii="Times New Roman;serif" w:hAnsi="Times New Roman;serif"/>
          <w:b/>
          <w:color w:val="231F20"/>
          <w:sz w:val="20"/>
        </w:rPr>
        <w:t>(In thousands, except for share and per share amounts)</w:t>
      </w:r>
    </w:p>
    <w:p>
      <w:pPr>
        <w:pStyle w:val="TextBody"/>
        <w:bidi w:val="0"/>
        <w:spacing w:before="0" w:after="0"/>
        <w:jc w:val="center"/>
        <w:rPr/>
      </w:pPr>
      <w:r>
        <w:rPr/>
      </w:r>
    </w:p>
    <w:p>
      <w:pPr>
        <w:pStyle w:val="TextBody"/>
        <w:bidi w:val="0"/>
        <w:spacing w:before="6" w:after="120"/>
        <w:jc w:val="left"/>
        <w:rPr/>
      </w:pPr>
      <w:r>
        <w:rPr/>
      </w:r>
    </w:p>
    <w:tbl>
      <w:tblPr>
        <w:tblW w:w="10205" w:type="dxa"/>
        <w:jc w:val="left"/>
        <w:tblInd w:w="0" w:type="dxa"/>
        <w:tblLayout w:type="fixed"/>
        <w:tblCellMar>
          <w:top w:w="28" w:type="dxa"/>
          <w:left w:w="28" w:type="dxa"/>
          <w:bottom w:w="28" w:type="dxa"/>
          <w:right w:w="28" w:type="dxa"/>
        </w:tblCellMar>
      </w:tblPr>
      <w:tblGrid>
        <w:gridCol w:w="2961"/>
        <w:gridCol w:w="2381"/>
        <w:gridCol w:w="2356"/>
        <w:gridCol w:w="196"/>
        <w:gridCol w:w="751"/>
        <w:gridCol w:w="109"/>
        <w:gridCol w:w="109"/>
        <w:gridCol w:w="109"/>
        <w:gridCol w:w="109"/>
        <w:gridCol w:w="202"/>
        <w:gridCol w:w="760"/>
        <w:gridCol w:w="162"/>
      </w:tblGrid>
      <w:tr>
        <w:trPr/>
        <w:tc>
          <w:tcPr>
            <w:tcW w:w="2961"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December 31,</w:t>
              <w:br/>
              <w:t>2025</w:t>
            </w:r>
          </w:p>
        </w:tc>
      </w:tr>
      <w:tr>
        <w:trPr/>
        <w:tc>
          <w:tcPr>
            <w:tcW w:w="7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31F20"/>
                <w:sz w:val="18"/>
              </w:rPr>
            </w:pPr>
            <w:r>
              <w:rPr>
                <w:rFonts w:ascii="Times New Roman;serif" w:hAnsi="Times New Roman;serif"/>
                <w:b w:val="false"/>
                <w:color w:val="231F2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DFF" w:val="clear"/>
            <w:tcMar>
              <w:top w:w="0" w:type="dxa"/>
              <w:left w:w="0" w:type="dxa"/>
              <w:bottom w:w="0" w:type="dxa"/>
              <w:right w:w="0" w:type="dxa"/>
            </w:tcMar>
            <w:vAlign w:val="center"/>
          </w:tcPr>
          <w:p>
            <w:pPr>
              <w:pStyle w:val="TableContents"/>
              <w:bidi w:val="0"/>
              <w:spacing w:lineRule="atLeast" w:line="219" w:before="0" w:after="283"/>
              <w:jc w:val="left"/>
              <w:rPr>
                <w:rFonts w:ascii="Times New Roman;serif" w:hAnsi="Times New Roman;serif"/>
                <w:b/>
                <w:color w:val="231F20"/>
                <w:sz w:val="18"/>
              </w:rPr>
            </w:pPr>
            <w:r>
              <w:rPr>
                <w:rFonts w:ascii="Times New Roman;serif" w:hAnsi="Times New Roman;serif"/>
                <w:b/>
                <w:color w:val="231F20"/>
                <w:sz w:val="18"/>
              </w:rPr>
              <w:t>Assets</w:t>
            </w:r>
          </w:p>
        </w:tc>
        <w:tc>
          <w:tcPr>
            <w:tcW w:w="105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tLeast" w:line="219" w:before="0" w:after="283"/>
              <w:jc w:val="left"/>
              <w:rPr>
                <w:rFonts w:ascii="Times New Roman;serif" w:hAnsi="Times New Roman;serif"/>
                <w:b w:val="false"/>
                <w:color w:val="231F20"/>
                <w:sz w:val="18"/>
              </w:rPr>
            </w:pPr>
            <w:r>
              <w:rPr>
                <w:rFonts w:ascii="Times New Roman;serif" w:hAnsi="Times New Roman;serif"/>
                <w:b w:val="false"/>
                <w:color w:val="231F20"/>
                <w:sz w:val="18"/>
              </w:rPr>
              <w:t>Current assets: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98" w:type="dxa"/>
            <w:gridSpan w:val="3"/>
            <w:tcBorders/>
            <w:shd w:fill="CCEDFF" w:val="clear"/>
            <w:tcMar>
              <w:top w:w="0" w:type="dxa"/>
              <w:left w:w="0" w:type="dxa"/>
              <w:bottom w:w="0" w:type="dxa"/>
              <w:right w:w="0" w:type="dxa"/>
            </w:tcMar>
            <w:vAlign w:val="center"/>
          </w:tcPr>
          <w:p>
            <w:pPr>
              <w:pStyle w:val="TableContents"/>
              <w:bidi w:val="0"/>
              <w:spacing w:lineRule="atLeast" w:line="219" w:before="0" w:after="283"/>
              <w:jc w:val="left"/>
              <w:rPr>
                <w:rFonts w:ascii="Times New Roman;serif" w:hAnsi="Times New Roman;serif"/>
                <w:b w:val="false"/>
                <w:color w:val="231F20"/>
                <w:sz w:val="18"/>
              </w:rPr>
            </w:pPr>
            <w:r>
              <w:rPr>
                <w:rFonts w:ascii="Times New Roman;serif" w:hAnsi="Times New Roman;serif"/>
                <w:b w:val="false"/>
                <w:color w:val="231F20"/>
                <w:sz w:val="18"/>
              </w:rPr>
              <w:t>Cash and cash equivalents</w:t>
            </w:r>
          </w:p>
        </w:tc>
        <w:tc>
          <w:tcPr>
            <w:tcW w:w="196"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w:t>
            </w:r>
          </w:p>
        </w:tc>
        <w:tc>
          <w:tcPr>
            <w:tcW w:w="751"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312,780 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w:t>
            </w:r>
          </w:p>
        </w:tc>
        <w:tc>
          <w:tcPr>
            <w:tcW w:w="760"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16,164 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231F20"/>
                <w:sz w:val="18"/>
              </w:rPr>
            </w:pPr>
            <w:r>
              <w:rPr>
                <w:rFonts w:ascii="Times New Roman;serif" w:hAnsi="Times New Roman;serif"/>
                <w:b w:val="false"/>
                <w:color w:val="231F20"/>
                <w:sz w:val="18"/>
              </w:rPr>
              <w:t>Accounts receivable,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3,430 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9,477 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98"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18"/>
              </w:rPr>
            </w:pPr>
            <w:r>
              <w:rPr>
                <w:rFonts w:ascii="Times New Roman;serif" w:hAnsi="Times New Roman;serif"/>
                <w:b w:val="false"/>
                <w:color w:val="231F20"/>
                <w:sz w:val="18"/>
              </w:rPr>
              <w:t>Materials and supplies</w:t>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5,718 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8,344 </w:t>
            </w:r>
          </w:p>
        </w:tc>
        <w:tc>
          <w:tcPr>
            <w:tcW w:w="162"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val="false"/>
                <w:color w:val="231F20"/>
                <w:sz w:val="18"/>
              </w:rPr>
            </w:pPr>
            <w:r>
              <w:rPr>
                <w:rFonts w:ascii="Times New Roman;serif" w:hAnsi="Times New Roman;serif"/>
                <w:b w:val="false"/>
                <w:color w:val="231F20"/>
                <w:sz w:val="18"/>
              </w:rPr>
              <w:t>Prepaid expenses and other current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9,292 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6,229 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18"/>
              </w:rPr>
            </w:pPr>
            <w:r>
              <w:rPr>
                <w:rFonts w:ascii="Times New Roman;serif" w:hAnsi="Times New Roman;serif"/>
                <w:b w:val="false"/>
                <w:color w:val="231F20"/>
                <w:sz w:val="18"/>
              </w:rPr>
              <w:t xml:space="preserve">Total current assets </w:t>
            </w:r>
          </w:p>
        </w:tc>
        <w:tc>
          <w:tcPr>
            <w:tcW w:w="947" w:type="dxa"/>
            <w:gridSpan w:val="2"/>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331,220 </w:t>
            </w:r>
          </w:p>
        </w:tc>
        <w:tc>
          <w:tcPr>
            <w:tcW w:w="109"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40,214 </w:t>
            </w:r>
          </w:p>
        </w:tc>
        <w:tc>
          <w:tcPr>
            <w:tcW w:w="162"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18"/>
              </w:rPr>
            </w:pPr>
            <w:r>
              <w:rPr>
                <w:rFonts w:ascii="Times New Roman;serif" w:hAnsi="Times New Roman;serif"/>
                <w:b w:val="false"/>
                <w:color w:val="231F20"/>
                <w:sz w:val="18"/>
              </w:rPr>
              <w:t>Property and equipment,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17,270 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18,313 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18"/>
              </w:rPr>
            </w:pPr>
            <w:r>
              <w:rPr>
                <w:rFonts w:ascii="Times New Roman;serif" w:hAnsi="Times New Roman;serif"/>
                <w:b w:val="false"/>
                <w:color w:val="231F20"/>
                <w:sz w:val="18"/>
              </w:rPr>
              <w:t xml:space="preserve">Operating right-of-use assets, net </w:t>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25,340 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6,949 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val="false"/>
                <w:color w:val="231F20"/>
                <w:sz w:val="18"/>
              </w:rPr>
            </w:pPr>
            <w:r>
              <w:rPr>
                <w:rFonts w:ascii="Times New Roman;serif" w:hAnsi="Times New Roman;serif"/>
                <w:b w:val="false"/>
                <w:color w:val="231F20"/>
                <w:sz w:val="18"/>
              </w:rPr>
              <w:t>Intangible assets,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4,946 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5,128 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DFF" w:val="clear"/>
            <w:tcMar>
              <w:top w:w="0" w:type="dxa"/>
              <w:left w:w="0" w:type="dxa"/>
              <w:bottom w:w="0" w:type="dxa"/>
              <w:right w:w="0" w:type="dxa"/>
            </w:tcMar>
            <w:vAlign w:val="center"/>
          </w:tcPr>
          <w:p>
            <w:pPr>
              <w:pStyle w:val="TableContents"/>
              <w:bidi w:val="0"/>
              <w:spacing w:lineRule="atLeast" w:line="217" w:before="0" w:after="0"/>
              <w:ind w:left="0" w:right="0" w:hanging="180"/>
              <w:jc w:val="left"/>
              <w:rPr>
                <w:rFonts w:ascii="Times New Roman;serif" w:hAnsi="Times New Roman;serif"/>
                <w:b w:val="false"/>
                <w:color w:val="231F20"/>
                <w:sz w:val="18"/>
              </w:rPr>
            </w:pPr>
            <w:r>
              <w:rPr>
                <w:rFonts w:ascii="Times New Roman;serif" w:hAnsi="Times New Roman;serif"/>
                <w:b w:val="false"/>
                <w:color w:val="231F20"/>
                <w:sz w:val="18"/>
              </w:rPr>
              <w:t>Long-term deposits</w:t>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5,233 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color w:val="231F20"/>
                <w:sz w:val="18"/>
              </w:rPr>
            </w:pPr>
            <w:r>
              <w:rPr>
                <w:rFonts w:ascii="Times New Roman;serif" w:hAnsi="Times New Roman;serif"/>
                <w:b/>
                <w:color w:val="231F20"/>
                <w:sz w:val="18"/>
              </w:rPr>
              <w:t xml:space="preserve">Total assets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8"/>
              </w:rPr>
            </w:pPr>
            <w:r>
              <w:rPr>
                <w:rFonts w:ascii="Times New Roman;serif" w:hAnsi="Times New Roman;serif"/>
                <w:b/>
                <w:color w:val="231F2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18"/>
              </w:rPr>
              <w:t>384,009</w:t>
            </w:r>
            <w:r>
              <w:rPr>
                <w:color w:val="231F2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8"/>
              </w:rPr>
            </w:pPr>
            <w:r>
              <w:rPr>
                <w:rFonts w:ascii="Times New Roman;serif" w:hAnsi="Times New Roman;serif"/>
                <w:b/>
                <w:color w:val="231F20"/>
                <w:sz w:val="18"/>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18"/>
              </w:rPr>
              <w:t>70,604</w:t>
            </w:r>
            <w:r>
              <w:rPr>
                <w:color w:val="231F2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color w:val="231F20"/>
                <w:sz w:val="18"/>
              </w:rPr>
            </w:pPr>
            <w:r>
              <w:rPr>
                <w:rFonts w:ascii="Times New Roman;serif" w:hAnsi="Times New Roman;serif"/>
                <w:b/>
                <w:color w:val="231F20"/>
                <w:sz w:val="18"/>
              </w:rPr>
              <w:t>Liabilities and Shareholders’ Equity</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D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color w:val="231F20"/>
                <w:sz w:val="18"/>
              </w:rPr>
            </w:pPr>
            <w:r>
              <w:rPr>
                <w:rFonts w:ascii="Times New Roman;serif" w:hAnsi="Times New Roman;serif"/>
                <w:b/>
                <w:color w:val="231F20"/>
                <w:sz w:val="18"/>
              </w:rPr>
              <w:t>Current liabilities:</w:t>
            </w:r>
          </w:p>
        </w:tc>
        <w:tc>
          <w:tcPr>
            <w:tcW w:w="105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tLeast" w:line="219" w:before="0" w:after="283"/>
              <w:jc w:val="left"/>
              <w:rPr>
                <w:rFonts w:ascii="Times New Roman;serif" w:hAnsi="Times New Roman;serif"/>
                <w:b w:val="false"/>
                <w:color w:val="231F20"/>
                <w:sz w:val="18"/>
              </w:rPr>
            </w:pPr>
            <w:r>
              <w:rPr>
                <w:rFonts w:ascii="Times New Roman;serif" w:hAnsi="Times New Roman;serif"/>
                <w:b w:val="false"/>
                <w:color w:val="231F20"/>
                <w:sz w:val="18"/>
              </w:rPr>
              <w:t xml:space="preserve">Accounts payable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1,538 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2,802 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98" w:type="dxa"/>
            <w:gridSpan w:val="3"/>
            <w:tcBorders/>
            <w:shd w:fill="CCEDFF" w:val="clear"/>
            <w:tcMar>
              <w:top w:w="0" w:type="dxa"/>
              <w:left w:w="0" w:type="dxa"/>
              <w:bottom w:w="0" w:type="dxa"/>
              <w:right w:w="0" w:type="dxa"/>
            </w:tcMar>
            <w:vAlign w:val="center"/>
          </w:tcPr>
          <w:p>
            <w:pPr>
              <w:pStyle w:val="TableContents"/>
              <w:bidi w:val="0"/>
              <w:spacing w:lineRule="atLeast" w:line="219" w:before="0" w:after="283"/>
              <w:jc w:val="left"/>
              <w:rPr>
                <w:rFonts w:ascii="Times New Roman;serif" w:hAnsi="Times New Roman;serif"/>
                <w:b w:val="false"/>
                <w:color w:val="231F20"/>
                <w:sz w:val="18"/>
              </w:rPr>
            </w:pPr>
            <w:r>
              <w:rPr>
                <w:rFonts w:ascii="Times New Roman;serif" w:hAnsi="Times New Roman;serif"/>
                <w:b w:val="false"/>
                <w:color w:val="231F20"/>
                <w:sz w:val="18"/>
              </w:rPr>
              <w:t xml:space="preserve">Accrued expenses and other current liabilities </w:t>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6,723 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2,191 </w:t>
            </w:r>
          </w:p>
        </w:tc>
        <w:tc>
          <w:tcPr>
            <w:tcW w:w="162"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tLeast" w:line="219" w:before="0" w:after="283"/>
              <w:jc w:val="left"/>
              <w:rPr>
                <w:rFonts w:ascii="Times New Roman;serif" w:hAnsi="Times New Roman;serif"/>
                <w:b w:val="false"/>
                <w:color w:val="231F20"/>
                <w:sz w:val="18"/>
              </w:rPr>
            </w:pPr>
            <w:r>
              <w:rPr>
                <w:rFonts w:ascii="Times New Roman;serif" w:hAnsi="Times New Roman;serif"/>
                <w:b w:val="false"/>
                <w:color w:val="231F20"/>
                <w:sz w:val="18"/>
              </w:rPr>
              <w:t>Deferred revenue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544 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98" w:type="dxa"/>
            <w:gridSpan w:val="3"/>
            <w:tcBorders/>
            <w:shd w:fill="CCEDFF" w:val="clear"/>
            <w:tcMar>
              <w:top w:w="0" w:type="dxa"/>
              <w:left w:w="0" w:type="dxa"/>
              <w:bottom w:w="0" w:type="dxa"/>
              <w:right w:w="0" w:type="dxa"/>
            </w:tcMar>
            <w:vAlign w:val="center"/>
          </w:tcPr>
          <w:p>
            <w:pPr>
              <w:pStyle w:val="TableContents"/>
              <w:bidi w:val="0"/>
              <w:spacing w:lineRule="atLeast" w:line="219" w:before="0" w:after="283"/>
              <w:jc w:val="left"/>
              <w:rPr>
                <w:rFonts w:ascii="Times New Roman;serif" w:hAnsi="Times New Roman;serif"/>
                <w:b w:val="false"/>
                <w:color w:val="231F20"/>
                <w:sz w:val="18"/>
              </w:rPr>
            </w:pPr>
            <w:r>
              <w:rPr>
                <w:rFonts w:ascii="Times New Roman;serif" w:hAnsi="Times New Roman;serif"/>
                <w:b w:val="false"/>
                <w:color w:val="231F20"/>
                <w:sz w:val="18"/>
              </w:rPr>
              <w:t>Deferred grant income</w:t>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3,224 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492 </w:t>
            </w:r>
          </w:p>
        </w:tc>
        <w:tc>
          <w:tcPr>
            <w:tcW w:w="162"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tLeast" w:line="219" w:before="0" w:after="283"/>
              <w:jc w:val="left"/>
              <w:rPr>
                <w:rFonts w:ascii="Times New Roman;serif" w:hAnsi="Times New Roman;serif"/>
                <w:b w:val="false"/>
                <w:color w:val="231F20"/>
                <w:sz w:val="18"/>
              </w:rPr>
            </w:pPr>
            <w:r>
              <w:rPr>
                <w:rFonts w:ascii="Times New Roman;serif" w:hAnsi="Times New Roman;serif"/>
                <w:b w:val="false"/>
                <w:color w:val="231F20"/>
                <w:sz w:val="18"/>
              </w:rPr>
              <w:t xml:space="preserve">Short-term operating lease liabilities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1,051 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1,074 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98" w:type="dxa"/>
            <w:gridSpan w:val="3"/>
            <w:tcBorders/>
            <w:shd w:fill="CCEDFF" w:val="clear"/>
            <w:tcMar>
              <w:top w:w="0" w:type="dxa"/>
              <w:left w:w="0" w:type="dxa"/>
              <w:bottom w:w="0" w:type="dxa"/>
              <w:right w:w="0" w:type="dxa"/>
            </w:tcMar>
            <w:vAlign w:val="center"/>
          </w:tcPr>
          <w:p>
            <w:pPr>
              <w:pStyle w:val="TableContents"/>
              <w:bidi w:val="0"/>
              <w:spacing w:lineRule="atLeast" w:line="219" w:before="0" w:after="283"/>
              <w:jc w:val="left"/>
              <w:rPr>
                <w:rFonts w:ascii="Times New Roman;serif" w:hAnsi="Times New Roman;serif"/>
                <w:b w:val="false"/>
                <w:color w:val="231F20"/>
                <w:sz w:val="18"/>
              </w:rPr>
            </w:pPr>
            <w:r>
              <w:rPr>
                <w:rFonts w:ascii="Times New Roman;serif" w:hAnsi="Times New Roman;serif"/>
                <w:b w:val="false"/>
                <w:color w:val="231F20"/>
                <w:sz w:val="18"/>
              </w:rPr>
              <w:t>Current portion of long-term debt</w:t>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132 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tLeast" w:line="219" w:before="0" w:after="283"/>
              <w:jc w:val="left"/>
              <w:rPr>
                <w:rFonts w:ascii="Times New Roman;serif" w:hAnsi="Times New Roman;serif"/>
                <w:b w:val="false"/>
                <w:color w:val="231F20"/>
                <w:sz w:val="18"/>
              </w:rPr>
            </w:pPr>
            <w:r>
              <w:rPr>
                <w:rFonts w:ascii="Times New Roman;serif" w:hAnsi="Times New Roman;serif"/>
                <w:b w:val="false"/>
                <w:color w:val="231F20"/>
                <w:sz w:val="18"/>
              </w:rPr>
              <w:t xml:space="preserve">Warrant liabilities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1,874 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98" w:type="dxa"/>
            <w:gridSpan w:val="3"/>
            <w:tcBorders/>
            <w:shd w:fill="CCEDFF" w:val="clear"/>
            <w:tcMar>
              <w:top w:w="0" w:type="dxa"/>
              <w:left w:w="0" w:type="dxa"/>
              <w:bottom w:w="0" w:type="dxa"/>
              <w:right w:w="0" w:type="dxa"/>
            </w:tcMar>
            <w:vAlign w:val="center"/>
          </w:tcPr>
          <w:p>
            <w:pPr>
              <w:pStyle w:val="TableContents"/>
              <w:bidi w:val="0"/>
              <w:spacing w:lineRule="atLeast" w:line="219" w:before="0" w:after="283"/>
              <w:jc w:val="left"/>
              <w:rPr>
                <w:rFonts w:ascii="Times New Roman;serif" w:hAnsi="Times New Roman;serif"/>
                <w:b w:val="false"/>
                <w:color w:val="231F20"/>
                <w:sz w:val="18"/>
              </w:rPr>
            </w:pPr>
            <w:r>
              <w:rPr>
                <w:rFonts w:ascii="Times New Roman;serif" w:hAnsi="Times New Roman;serif"/>
                <w:b w:val="false"/>
                <w:color w:val="231F20"/>
                <w:sz w:val="18"/>
              </w:rPr>
              <w:t xml:space="preserve">Total current liabilities </w:t>
            </w:r>
          </w:p>
        </w:tc>
        <w:tc>
          <w:tcPr>
            <w:tcW w:w="947" w:type="dxa"/>
            <w:gridSpan w:val="2"/>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12,971 </w:t>
            </w:r>
          </w:p>
        </w:tc>
        <w:tc>
          <w:tcPr>
            <w:tcW w:w="109"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8,977 </w:t>
            </w:r>
          </w:p>
        </w:tc>
        <w:tc>
          <w:tcPr>
            <w:tcW w:w="162"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18"/>
              </w:rPr>
            </w:pPr>
            <w:r>
              <w:rPr>
                <w:rFonts w:ascii="Times New Roman;serif" w:hAnsi="Times New Roman;serif"/>
                <w:b w:val="false"/>
                <w:color w:val="231F20"/>
                <w:sz w:val="18"/>
              </w:rPr>
              <w:t>Long-term operating lease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25,556 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7,185 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D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val="false"/>
                <w:color w:val="231F20"/>
                <w:sz w:val="18"/>
              </w:rPr>
            </w:pPr>
            <w:r>
              <w:rPr>
                <w:rFonts w:ascii="Times New Roman;serif" w:hAnsi="Times New Roman;serif"/>
                <w:b w:val="false"/>
                <w:color w:val="231F20"/>
                <w:sz w:val="18"/>
              </w:rPr>
              <w:t xml:space="preserve">Long-term debt </w:t>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32,407 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29,998 </w:t>
            </w:r>
          </w:p>
        </w:tc>
        <w:tc>
          <w:tcPr>
            <w:tcW w:w="162"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tLeast" w:line="219" w:before="0" w:after="283"/>
              <w:jc w:val="left"/>
              <w:rPr>
                <w:rFonts w:ascii="Times New Roman;serif" w:hAnsi="Times New Roman;serif"/>
                <w:b/>
                <w:color w:val="231F20"/>
                <w:sz w:val="18"/>
              </w:rPr>
            </w:pPr>
            <w:r>
              <w:rPr>
                <w:rFonts w:ascii="Times New Roman;serif" w:hAnsi="Times New Roman;serif"/>
                <w:b/>
                <w:color w:val="231F20"/>
                <w:sz w:val="18"/>
              </w:rPr>
              <w:t>Total liabilities</w:t>
            </w:r>
          </w:p>
        </w:tc>
        <w:tc>
          <w:tcPr>
            <w:tcW w:w="196" w:type="dxa"/>
            <w:tcBorders>
              <w:top w:val="single" w:sz="4" w:space="0" w:color="231F2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w:t>
            </w:r>
          </w:p>
        </w:tc>
        <w:tc>
          <w:tcPr>
            <w:tcW w:w="751" w:type="dxa"/>
            <w:tcBorders>
              <w:top w:val="single" w:sz="4" w:space="0" w:color="231F2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70,934 </w:t>
            </w:r>
          </w:p>
        </w:tc>
        <w:tc>
          <w:tcPr>
            <w:tcW w:w="109" w:type="dxa"/>
            <w:tcBorders>
              <w:top w:val="single" w:sz="4" w:space="0" w:color="231F2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4" w:space="0" w:color="231F2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w:t>
            </w:r>
          </w:p>
        </w:tc>
        <w:tc>
          <w:tcPr>
            <w:tcW w:w="760" w:type="dxa"/>
            <w:tcBorders>
              <w:top w:val="single" w:sz="4" w:space="0" w:color="231F2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46,160 </w:t>
            </w:r>
          </w:p>
        </w:tc>
        <w:tc>
          <w:tcPr>
            <w:tcW w:w="162" w:type="dxa"/>
            <w:tcBorders>
              <w:top w:val="single" w:sz="4" w:space="0" w:color="231F2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Commitments and contingencies (note 16)</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8"/>
              </w:rPr>
            </w:pPr>
            <w:r>
              <w:rPr>
                <w:rFonts w:ascii="Times New Roman;serif" w:hAnsi="Times New Roman;serif"/>
                <w:b/>
                <w:color w:val="231F20"/>
                <w:sz w:val="18"/>
              </w:rPr>
              <w:t>Shareholders’ equity:</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DFF" w:val="clear"/>
            <w:tcMar>
              <w:top w:w="0" w:type="dxa"/>
              <w:left w:w="0" w:type="dxa"/>
              <w:bottom w:w="0" w:type="dxa"/>
              <w:right w:w="0" w:type="dxa"/>
            </w:tcMar>
            <w:vAlign w:val="center"/>
          </w:tcPr>
          <w:p>
            <w:pPr>
              <w:pStyle w:val="TableContents"/>
              <w:bidi w:val="0"/>
              <w:spacing w:lineRule="auto" w:line="266" w:before="0" w:after="0"/>
              <w:jc w:val="left"/>
              <w:rPr/>
            </w:pPr>
            <w:r>
              <w:rPr>
                <w:rFonts w:ascii="Times New Roman;serif" w:hAnsi="Times New Roman;serif"/>
                <w:b w:val="false"/>
                <w:color w:val="231F20"/>
                <w:sz w:val="18"/>
              </w:rPr>
              <w:t xml:space="preserve">Old Xanadu convertible preferred shares, no par value, 204,286,254 shares authorized, 199,930,069 issued and outstanding at December 31, 2025 </w:t>
            </w:r>
            <w:r>
              <w:rPr>
                <w:rFonts w:ascii="Times New Roman;serif" w:hAnsi="Times New Roman;serif"/>
                <w:b w:val="false"/>
                <w:color w:val="231F20"/>
                <w:sz w:val="12"/>
              </w:rPr>
              <w:t>(1)</w:t>
            </w:r>
          </w:p>
        </w:tc>
        <w:tc>
          <w:tcPr>
            <w:tcW w:w="196"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w:t>
            </w:r>
          </w:p>
        </w:tc>
        <w:tc>
          <w:tcPr>
            <w:tcW w:w="751"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w:t>
            </w:r>
          </w:p>
        </w:tc>
        <w:tc>
          <w:tcPr>
            <w:tcW w:w="760"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213,002 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231F20"/>
                <w:sz w:val="18"/>
              </w:rPr>
              <w:t xml:space="preserve">Old Xanadu common shares, no par value, 336,123,821 shares authorized, 55,964,876 shares issued and outstanding at December 31, 2025 </w:t>
            </w:r>
            <w:r>
              <w:rPr>
                <w:rFonts w:ascii="Times New Roman;serif" w:hAnsi="Times New Roman;serif"/>
                <w:b w:val="false"/>
                <w:color w:val="231F20"/>
                <w:sz w:val="12"/>
              </w:rPr>
              <w:t>(1)</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7,585 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DFF" w:val="clear"/>
            <w:tcMar>
              <w:top w:w="0" w:type="dxa"/>
              <w:left w:w="0" w:type="dxa"/>
              <w:bottom w:w="0" w:type="dxa"/>
              <w:right w:w="0" w:type="dxa"/>
            </w:tcMar>
            <w:vAlign w:val="center"/>
          </w:tcPr>
          <w:p>
            <w:pPr>
              <w:pStyle w:val="TableContents"/>
              <w:bidi w:val="0"/>
              <w:spacing w:lineRule="auto" w:line="266" w:before="17" w:after="283"/>
              <w:jc w:val="left"/>
              <w:rPr>
                <w:rFonts w:ascii="Times New Roman;serif" w:hAnsi="Times New Roman;serif"/>
                <w:b w:val="false"/>
                <w:color w:val="231F20"/>
                <w:sz w:val="18"/>
              </w:rPr>
            </w:pPr>
            <w:r>
              <w:rPr>
                <w:rFonts w:ascii="Times New Roman;serif" w:hAnsi="Times New Roman;serif"/>
                <w:b w:val="false"/>
                <w:color w:val="231F20"/>
                <w:sz w:val="18"/>
              </w:rPr>
              <w:t>Common shares, unlimited Xanadu Class A Multiple Voting Shares authorized, no par value, 251,555,764 issued and outstanding; unlimited Xanadu Class B Subordinate Voting Shares authorized, no par value, 52,668,260 shares issued and outstanding at June 30, 2026</w:t>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566,167 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62"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 xml:space="preserve">Additional paid-in capital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17,027 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10,151 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98"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Accumulated deficit</w:t>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(270,365)</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(206,303)</w:t>
            </w:r>
          </w:p>
        </w:tc>
        <w:tc>
          <w:tcPr>
            <w:tcW w:w="162"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Accumulated other comprehensive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CCEDFF" w:val="clear"/>
            <w:tcMar>
              <w:top w:w="0" w:type="dxa"/>
              <w:left w:w="0" w:type="dxa"/>
              <w:bottom w:w="0" w:type="dxa"/>
              <w:right w:w="0" w:type="dxa"/>
            </w:tcMar>
            <w:vAlign w:val="center"/>
          </w:tcPr>
          <w:p>
            <w:pPr>
              <w:pStyle w:val="TableContents"/>
              <w:bidi w:val="0"/>
              <w:spacing w:lineRule="atLeast" w:line="222" w:before="0" w:after="283"/>
              <w:jc w:val="left"/>
              <w:rPr>
                <w:rFonts w:ascii="Times New Roman;serif" w:hAnsi="Times New Roman;serif"/>
                <w:b/>
                <w:color w:val="231F20"/>
                <w:sz w:val="18"/>
              </w:rPr>
            </w:pPr>
            <w:r>
              <w:rPr>
                <w:rFonts w:ascii="Times New Roman;serif" w:hAnsi="Times New Roman;serif"/>
                <w:b/>
                <w:color w:val="231F20"/>
                <w:sz w:val="18"/>
              </w:rPr>
              <w:t xml:space="preserve">Total shareholders’ equity </w:t>
            </w:r>
          </w:p>
        </w:tc>
        <w:tc>
          <w:tcPr>
            <w:tcW w:w="196"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w:t>
            </w:r>
          </w:p>
        </w:tc>
        <w:tc>
          <w:tcPr>
            <w:tcW w:w="75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313,075 </w:t>
            </w:r>
          </w:p>
        </w:tc>
        <w:tc>
          <w:tcPr>
            <w:tcW w:w="109"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w:t>
            </w:r>
          </w:p>
        </w:tc>
        <w:tc>
          <w:tcPr>
            <w:tcW w:w="760"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24,444 </w:t>
            </w:r>
          </w:p>
        </w:tc>
        <w:tc>
          <w:tcPr>
            <w:tcW w:w="162"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231F20"/>
                <w:sz w:val="18"/>
              </w:rPr>
            </w:pPr>
            <w:r>
              <w:rPr>
                <w:rFonts w:ascii="Times New Roman;serif" w:hAnsi="Times New Roman;serif"/>
                <w:b/>
                <w:color w:val="231F20"/>
                <w:sz w:val="18"/>
              </w:rPr>
              <w:t xml:space="preserve">Total liabilities and shareholders’ equity </w:t>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18"/>
              </w:rPr>
            </w:pPr>
            <w:r>
              <w:rPr>
                <w:rFonts w:ascii="Times New Roman;serif" w:hAnsi="Times New Roman;serif"/>
                <w:b/>
                <w:color w:val="231F20"/>
                <w:sz w:val="18"/>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18"/>
              </w:rPr>
              <w:t>384,009</w:t>
            </w:r>
            <w:r>
              <w:rPr>
                <w:color w:val="231F2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18"/>
              </w:rPr>
            </w:pPr>
            <w:r>
              <w:rPr>
                <w:rFonts w:ascii="Times New Roman;serif" w:hAnsi="Times New Roman;serif"/>
                <w:b/>
                <w:color w:val="231F20"/>
                <w:sz w:val="18"/>
              </w:rPr>
              <w:t>$</w:t>
            </w:r>
          </w:p>
        </w:tc>
        <w:tc>
          <w:tcPr>
            <w:tcW w:w="76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18"/>
              </w:rPr>
              <w:t>70,604</w:t>
            </w:r>
            <w:r>
              <w:rPr>
                <w:color w:val="231F20"/>
              </w:rPr>
              <w:t> </w:t>
            </w:r>
          </w:p>
        </w:tc>
        <w:tc>
          <w:tcPr>
            <w:tcW w:w="16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00"/>
        <w:jc w:val="left"/>
        <w:rPr/>
      </w:pPr>
      <w:r>
        <w:rPr>
          <w:rFonts w:ascii="Times New Roman;serif" w:hAnsi="Times New Roman;serif"/>
          <w:b w:val="false"/>
          <w:color w:val="231F20"/>
          <w:sz w:val="12"/>
        </w:rPr>
        <w:t xml:space="preserve">(1) </w:t>
      </w:r>
      <w:r>
        <w:rPr>
          <w:rFonts w:ascii="Times New Roman;serif" w:hAnsi="Times New Roman;serif"/>
          <w:b w:val="false"/>
          <w:color w:val="231F20"/>
          <w:sz w:val="18"/>
        </w:rPr>
        <w:t xml:space="preserve">Old Xanadu convertible preferred shares and common shares have been retroactively recast after giving effect to the </w:t>
      </w:r>
      <w:r>
        <w:rPr>
          <w:rFonts w:ascii="Times New Roman;serif" w:hAnsi="Times New Roman;serif"/>
          <w:b w:val="false"/>
          <w:color w:val="000000"/>
          <w:sz w:val="18"/>
        </w:rPr>
        <w:t>Reverse Recapitalization</w:t>
      </w:r>
      <w:r>
        <w:rPr>
          <w:rFonts w:ascii="Times New Roman;serif" w:hAnsi="Times New Roman;serif"/>
          <w:b w:val="false"/>
          <w:color w:val="231F20"/>
          <w:sz w:val="18"/>
        </w:rPr>
        <w:t xml:space="preserve">. Refer to Note 3 for additional information. </w:t>
      </w:r>
    </w:p>
    <w:p>
      <w:pPr>
        <w:pStyle w:val="TextBody"/>
        <w:bidi w:val="0"/>
        <w:spacing w:lineRule="auto" w:line="288" w:before="60" w:after="100"/>
        <w:jc w:val="left"/>
        <w:rPr>
          <w:rFonts w:ascii="Times New Roman;serif" w:hAnsi="Times New Roman;serif"/>
          <w:b w:val="false"/>
          <w:color w:val="231F20"/>
          <w:sz w:val="18"/>
        </w:rPr>
      </w:pPr>
      <w:r>
        <w:rPr>
          <w:rFonts w:ascii="Times New Roman;serif" w:hAnsi="Times New Roman;serif"/>
          <w:b w:val="false"/>
          <w:color w:val="231F20"/>
          <w:sz w:val="18"/>
        </w:rPr>
        <w:t>Subsequent events (note 10 and 19)</w:t>
      </w:r>
    </w:p>
    <w:p>
      <w:pPr>
        <w:pStyle w:val="TextBody"/>
        <w:bidi w:val="0"/>
        <w:spacing w:lineRule="auto" w:line="288" w:before="60" w:after="100"/>
        <w:jc w:val="left"/>
        <w:rPr>
          <w:rFonts w:ascii="Times New Roman;serif" w:hAnsi="Times New Roman;serif"/>
          <w:b w:val="false"/>
          <w:i/>
          <w:color w:val="231F20"/>
          <w:sz w:val="18"/>
        </w:rPr>
      </w:pPr>
      <w:r>
        <w:rPr>
          <w:rFonts w:ascii="Times New Roman;serif" w:hAnsi="Times New Roman;serif"/>
          <w:b w:val="false"/>
          <w:i/>
          <w:color w:val="231F20"/>
          <w:sz w:val="18"/>
        </w:rPr>
        <w:t>On behalf of the Board of Directors</w:t>
      </w:r>
    </w:p>
    <w:tbl>
      <w:tblPr>
        <w:tblW w:w="6355" w:type="dxa"/>
        <w:jc w:val="left"/>
        <w:tblInd w:w="0" w:type="dxa"/>
        <w:tblLayout w:type="fixed"/>
        <w:tblCellMar>
          <w:top w:w="28" w:type="dxa"/>
          <w:left w:w="28" w:type="dxa"/>
          <w:bottom w:w="28" w:type="dxa"/>
          <w:right w:w="28" w:type="dxa"/>
        </w:tblCellMar>
      </w:tblPr>
      <w:tblGrid>
        <w:gridCol w:w="1567"/>
        <w:gridCol w:w="1379"/>
        <w:gridCol w:w="1388"/>
        <w:gridCol w:w="109"/>
        <w:gridCol w:w="109"/>
        <w:gridCol w:w="109"/>
        <w:gridCol w:w="496"/>
        <w:gridCol w:w="496"/>
        <w:gridCol w:w="702"/>
      </w:tblGrid>
      <w:tr>
        <w:trPr/>
        <w:tc>
          <w:tcPr>
            <w:tcW w:w="1567"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Christian Weedbrook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Michelle Reynolds</w:t>
            </w:r>
          </w:p>
        </w:tc>
      </w:tr>
      <w:tr>
        <w:trPr/>
        <w:tc>
          <w:tcPr>
            <w:tcW w:w="4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Christian Weedbrook, 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r>
    </w:tbl>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6840"/>
                <wp:effectExtent l="0" t="0" r="0" b="0"/>
                <wp:wrapNone/>
                <wp:docPr id="17" name="Frame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6</w:t>
                      </w:r>
                    </w:p>
                  </w:txbxContent>
                </v:textbox>
                <w10:wrap type="none"/>
              </v:rect>
            </w:pict>
          </mc:Fallback>
        </mc:AlternateContent>
      </w:r>
    </w:p>
    <w:p>
      <w:pPr>
        <w:pStyle w:val="TextBody"/>
        <w:bidi w:val="0"/>
        <w:spacing w:lineRule="auto" w:line="288" w:before="0" w:after="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XANADU QUANTUM TECHNOLOGIES LIMITED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Operations and Comprehensive Loss (Unaudited)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for share and per share amounts)</w:t>
      </w:r>
    </w:p>
    <w:tbl>
      <w:tblPr>
        <w:tblW w:w="10170" w:type="dxa"/>
        <w:jc w:val="center"/>
        <w:tblInd w:w="0" w:type="dxa"/>
        <w:tblLayout w:type="fixed"/>
        <w:tblCellMar>
          <w:top w:w="28" w:type="dxa"/>
          <w:left w:w="28" w:type="dxa"/>
          <w:bottom w:w="28" w:type="dxa"/>
          <w:right w:w="28" w:type="dxa"/>
        </w:tblCellMar>
      </w:tblPr>
      <w:tblGrid>
        <w:gridCol w:w="1824"/>
        <w:gridCol w:w="1599"/>
        <w:gridCol w:w="1617"/>
        <w:gridCol w:w="196"/>
        <w:gridCol w:w="721"/>
        <w:gridCol w:w="109"/>
        <w:gridCol w:w="109"/>
        <w:gridCol w:w="109"/>
        <w:gridCol w:w="109"/>
        <w:gridCol w:w="196"/>
        <w:gridCol w:w="721"/>
        <w:gridCol w:w="109"/>
        <w:gridCol w:w="109"/>
        <w:gridCol w:w="109"/>
        <w:gridCol w:w="109"/>
        <w:gridCol w:w="196"/>
        <w:gridCol w:w="721"/>
        <w:gridCol w:w="109"/>
        <w:gridCol w:w="109"/>
        <w:gridCol w:w="109"/>
        <w:gridCol w:w="109"/>
        <w:gridCol w:w="196"/>
        <w:gridCol w:w="721"/>
        <w:gridCol w:w="154"/>
      </w:tblGrid>
      <w:tr>
        <w:trPr/>
        <w:tc>
          <w:tcPr>
            <w:tcW w:w="1824"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Six Months Ended</w:t>
              <w:br/>
              <w:t>June 30,</w:t>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2026</w:t>
            </w:r>
          </w:p>
        </w:tc>
        <w:tc>
          <w:tcPr>
            <w:tcW w:w="327" w:type="dxa"/>
            <w:gridSpan w:val="3"/>
            <w:tcBorders>
              <w:top w:val="single" w:sz="4"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2026</w:t>
            </w:r>
          </w:p>
        </w:tc>
        <w:tc>
          <w:tcPr>
            <w:tcW w:w="327" w:type="dxa"/>
            <w:gridSpan w:val="3"/>
            <w:tcBorders>
              <w:top w:val="single" w:sz="4"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2025</w:t>
            </w:r>
          </w:p>
        </w:tc>
      </w:tr>
      <w:tr>
        <w:trPr/>
        <w:tc>
          <w:tcPr>
            <w:tcW w:w="5040" w:type="dxa"/>
            <w:gridSpan w:val="3"/>
            <w:tcBorders/>
            <w:shd w:fill="CCEDFF" w:val="clear"/>
            <w:tcMar>
              <w:top w:w="0" w:type="dxa"/>
              <w:left w:w="0" w:type="dxa"/>
              <w:bottom w:w="0" w:type="dxa"/>
              <w:right w:w="0" w:type="dxa"/>
            </w:tcMar>
            <w:vAlign w:val="center"/>
          </w:tcPr>
          <w:p>
            <w:pPr>
              <w:pStyle w:val="TableContents"/>
              <w:bidi w:val="0"/>
              <w:spacing w:lineRule="auto" w:line="288" w:before="53" w:after="283"/>
              <w:jc w:val="left"/>
              <w:rPr>
                <w:rFonts w:ascii="Times New Roman;serif" w:hAnsi="Times New Roman;serif"/>
                <w:b/>
                <w:color w:val="231F20"/>
                <w:sz w:val="18"/>
              </w:rPr>
            </w:pPr>
            <w:r>
              <w:rPr>
                <w:rFonts w:ascii="Times New Roman;serif" w:hAnsi="Times New Roman;serif"/>
                <w:b/>
                <w:color w:val="231F20"/>
                <w:sz w:val="18"/>
              </w:rPr>
              <w:t>Revenue</w:t>
            </w:r>
          </w:p>
        </w:tc>
        <w:tc>
          <w:tcPr>
            <w:tcW w:w="196"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1,511 </w:t>
            </w:r>
          </w:p>
        </w:tc>
        <w:tc>
          <w:tcPr>
            <w:tcW w:w="109"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1,057 </w:t>
            </w:r>
          </w:p>
        </w:tc>
        <w:tc>
          <w:tcPr>
            <w:tcW w:w="109"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4,343 </w:t>
            </w:r>
          </w:p>
        </w:tc>
        <w:tc>
          <w:tcPr>
            <w:tcW w:w="109"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1,755 </w:t>
            </w:r>
          </w:p>
        </w:tc>
        <w:tc>
          <w:tcPr>
            <w:tcW w:w="154"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8"/>
              </w:rPr>
            </w:pPr>
            <w:r>
              <w:rPr>
                <w:rFonts w:ascii="Times New Roman;serif" w:hAnsi="Times New Roman;serif"/>
                <w:b/>
                <w:color w:val="231F20"/>
                <w:sz w:val="18"/>
              </w:rPr>
              <w:t>Operating expenses:</w:t>
            </w:r>
          </w:p>
        </w:tc>
        <w:tc>
          <w:tcPr>
            <w:tcW w:w="102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Cost of revenue (exclusive of depreciation and amortization below)</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D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 xml:space="preserve">Research and development </w:t>
            </w:r>
          </w:p>
        </w:tc>
        <w:tc>
          <w:tcPr>
            <w:tcW w:w="91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19,723 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13,012 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37,604 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23,020 </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 xml:space="preserve">General and administrative </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D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91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1,948 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 xml:space="preserve">Depreciation and amortization </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D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 xml:space="preserve">Other operating income, net </w:t>
            </w:r>
          </w:p>
        </w:tc>
        <w:tc>
          <w:tcPr>
            <w:tcW w:w="91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(1,586)</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(5,724)</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88" w:before="29" w:after="283"/>
              <w:jc w:val="left"/>
              <w:rPr>
                <w:rFonts w:ascii="Times New Roman;serif" w:hAnsi="Times New Roman;serif"/>
                <w:b w:val="false"/>
                <w:color w:val="231F20"/>
                <w:sz w:val="18"/>
              </w:rPr>
            </w:pPr>
            <w:r>
              <w:rPr>
                <w:rFonts w:ascii="Times New Roman;serif" w:hAnsi="Times New Roman;serif"/>
                <w:b w:val="false"/>
                <w:color w:val="231F20"/>
                <w:sz w:val="18"/>
              </w:rPr>
              <w:t xml:space="preserve">Total operating expenses </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DFF" w:val="clear"/>
            <w:tcMar>
              <w:top w:w="0" w:type="dxa"/>
              <w:left w:w="0" w:type="dxa"/>
              <w:bottom w:w="0" w:type="dxa"/>
              <w:right w:w="0" w:type="dxa"/>
            </w:tcMar>
            <w:vAlign w:val="center"/>
          </w:tcPr>
          <w:p>
            <w:pPr>
              <w:pStyle w:val="TableContents"/>
              <w:bidi w:val="0"/>
              <w:spacing w:lineRule="auto" w:line="288" w:before="29" w:after="283"/>
              <w:jc w:val="left"/>
              <w:rPr>
                <w:rFonts w:ascii="Times New Roman;serif" w:hAnsi="Times New Roman;serif"/>
                <w:b/>
                <w:color w:val="231F20"/>
                <w:sz w:val="18"/>
              </w:rPr>
            </w:pPr>
            <w:r>
              <w:rPr>
                <w:rFonts w:ascii="Times New Roman;serif" w:hAnsi="Times New Roman;serif"/>
                <w:b/>
                <w:color w:val="231F20"/>
                <w:sz w:val="18"/>
              </w:rPr>
              <w:t>Loss from operations</w:t>
            </w:r>
          </w:p>
        </w:tc>
        <w:tc>
          <w:tcPr>
            <w:tcW w:w="91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(29,991)</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(15,523)</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(53,257)</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(28,288)</w:t>
            </w:r>
          </w:p>
        </w:tc>
        <w:tc>
          <w:tcPr>
            <w:tcW w:w="15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8"/>
              </w:rPr>
            </w:pPr>
            <w:r>
              <w:rPr>
                <w:rFonts w:ascii="Times New Roman;serif" w:hAnsi="Times New Roman;serif"/>
                <w:b/>
                <w:color w:val="231F20"/>
                <w:sz w:val="18"/>
              </w:rPr>
              <w:t>Other income (expense), net:</w:t>
            </w:r>
          </w:p>
        </w:tc>
        <w:tc>
          <w:tcPr>
            <w:tcW w:w="102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Interest income (expense),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40"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18"/>
              </w:rPr>
            </w:pPr>
            <w:r>
              <w:rPr>
                <w:rFonts w:ascii="Times New Roman;serif" w:hAnsi="Times New Roman;serif"/>
                <w:b w:val="false"/>
                <w:color w:val="231F20"/>
                <w:sz w:val="18"/>
              </w:rPr>
              <w:t>Loss on fair value of earn-out share liabilities, net</w:t>
            </w:r>
          </w:p>
        </w:tc>
        <w:tc>
          <w:tcPr>
            <w:tcW w:w="91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(10,597)</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(7,764)</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54"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18"/>
              </w:rPr>
            </w:pPr>
            <w:r>
              <w:rPr>
                <w:rFonts w:ascii="Times New Roman;serif" w:hAnsi="Times New Roman;serif"/>
                <w:b w:val="false"/>
                <w:color w:val="231F20"/>
                <w:sz w:val="18"/>
              </w:rPr>
              <w:t>Loss on derivative instruments,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DFF" w:val="clear"/>
            <w:tcMar>
              <w:top w:w="0" w:type="dxa"/>
              <w:left w:w="0" w:type="dxa"/>
              <w:bottom w:w="0" w:type="dxa"/>
              <w:right w:w="0" w:type="dxa"/>
            </w:tcMar>
            <w:vAlign w:val="center"/>
          </w:tcPr>
          <w:p>
            <w:pPr>
              <w:pStyle w:val="TableContents"/>
              <w:bidi w:val="0"/>
              <w:spacing w:lineRule="auto" w:line="288" w:before="29" w:after="283"/>
              <w:ind w:left="0" w:right="0" w:hanging="180"/>
              <w:jc w:val="left"/>
              <w:rPr>
                <w:rFonts w:ascii="Times New Roman;serif" w:hAnsi="Times New Roman;serif"/>
                <w:b w:val="false"/>
                <w:color w:val="231F20"/>
                <w:sz w:val="18"/>
              </w:rPr>
            </w:pPr>
            <w:r>
              <w:rPr>
                <w:rFonts w:ascii="Times New Roman;serif" w:hAnsi="Times New Roman;serif"/>
                <w:b w:val="false"/>
                <w:color w:val="231F20"/>
                <w:sz w:val="18"/>
              </w:rPr>
              <w:t xml:space="preserve">Other income (expense), net </w:t>
            </w:r>
          </w:p>
        </w:tc>
        <w:tc>
          <w:tcPr>
            <w:tcW w:w="91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(1,875)</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(1,856)</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88" w:before="29" w:after="283"/>
              <w:jc w:val="left"/>
              <w:rPr>
                <w:rFonts w:ascii="Times New Roman;serif" w:hAnsi="Times New Roman;serif"/>
                <w:b w:val="false"/>
                <w:color w:val="231F20"/>
                <w:sz w:val="18"/>
              </w:rPr>
            </w:pPr>
            <w:r>
              <w:rPr>
                <w:rFonts w:ascii="Times New Roman;serif" w:hAnsi="Times New Roman;serif"/>
                <w:b w:val="false"/>
                <w:color w:val="231F20"/>
                <w:sz w:val="18"/>
              </w:rPr>
              <w:t>Total other income (expense), net</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D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 xml:space="preserve">Net loss </w:t>
            </w:r>
          </w:p>
        </w:tc>
        <w:tc>
          <w:tcPr>
            <w:tcW w:w="19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(42,051)</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(15,140)</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(62,655)</w:t>
            </w:r>
          </w:p>
        </w:tc>
        <w:tc>
          <w:tcPr>
            <w:tcW w:w="109"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(27,345)</w:t>
            </w:r>
          </w:p>
        </w:tc>
        <w:tc>
          <w:tcPr>
            <w:tcW w:w="154"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DFF" w:val="clear"/>
            <w:tcMar>
              <w:top w:w="0" w:type="dxa"/>
              <w:left w:w="0" w:type="dxa"/>
              <w:bottom w:w="0" w:type="dxa"/>
              <w:right w:w="0" w:type="dxa"/>
            </w:tcMar>
            <w:vAlign w:val="center"/>
          </w:tcPr>
          <w:p>
            <w:pPr>
              <w:pStyle w:val="TableContents"/>
              <w:bidi w:val="0"/>
              <w:spacing w:lineRule="auto" w:line="288" w:before="29" w:after="283"/>
              <w:jc w:val="left"/>
              <w:rPr/>
            </w:pPr>
            <w:r>
              <w:rPr>
                <w:rFonts w:ascii="Times New Roman;serif" w:hAnsi="Times New Roman;serif"/>
                <w:b w:val="false"/>
                <w:color w:val="231F20"/>
                <w:sz w:val="18"/>
              </w:rPr>
              <w:t xml:space="preserve">Net loss per share, basic and diluted </w:t>
            </w:r>
            <w:r>
              <w:rPr>
                <w:rFonts w:ascii="Times New Roman;serif" w:hAnsi="Times New Roman;serif"/>
                <w:b w:val="false"/>
                <w:color w:val="231F20"/>
                <w:sz w:val="12"/>
              </w:rPr>
              <w:t>(1)</w:t>
            </w:r>
          </w:p>
        </w:tc>
        <w:tc>
          <w:tcPr>
            <w:tcW w:w="196"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(0.34)</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(0.49)</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66" w:before="17" w:after="283"/>
              <w:ind w:left="0" w:right="0" w:hanging="200"/>
              <w:jc w:val="left"/>
              <w:rPr/>
            </w:pPr>
            <w:r>
              <w:rPr>
                <w:rFonts w:ascii="Times New Roman;serif" w:hAnsi="Times New Roman;serif"/>
                <w:b w:val="false"/>
                <w:color w:val="231F20"/>
                <w:sz w:val="18"/>
              </w:rPr>
              <w:t>Weighted average shares outstanding</w:t>
            </w:r>
            <w:r>
              <w:rPr>
                <w:color w:val="231F20"/>
              </w:rPr>
              <w:t xml:space="preserve"> </w:t>
            </w:r>
            <w:r>
              <w:rPr>
                <w:rFonts w:ascii="Times New Roman;serif" w:hAnsi="Times New Roman;serif"/>
                <w:b w:val="false"/>
                <w:color w:val="231F20"/>
                <w:sz w:val="12"/>
              </w:rPr>
              <w:t>(1)</w:t>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299,964,510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55,786,865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186,551,397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55,718,926</w:t>
            </w:r>
          </w:p>
        </w:tc>
      </w:tr>
      <w:tr>
        <w:trPr/>
        <w:tc>
          <w:tcPr>
            <w:tcW w:w="504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8"/>
              </w:rPr>
            </w:pPr>
            <w:r>
              <w:rPr>
                <w:rFonts w:ascii="Times New Roman;serif" w:hAnsi="Times New Roman;serif"/>
                <w:b/>
                <w:color w:val="231F20"/>
                <w:sz w:val="18"/>
              </w:rPr>
              <w:t>Comprehensive loss: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DFF" w:val="clear"/>
            <w:tcMar>
              <w:top w:w="0" w:type="dxa"/>
              <w:left w:w="0" w:type="dxa"/>
              <w:bottom w:w="0" w:type="dxa"/>
              <w:right w:w="0" w:type="dxa"/>
            </w:tcMar>
            <w:vAlign w:val="center"/>
          </w:tcPr>
          <w:p>
            <w:pPr>
              <w:pStyle w:val="TableContents"/>
              <w:bidi w:val="0"/>
              <w:spacing w:lineRule="auto" w:line="288" w:before="28" w:after="283"/>
              <w:jc w:val="left"/>
              <w:rPr>
                <w:rFonts w:ascii="Times New Roman;serif" w:hAnsi="Times New Roman;serif"/>
                <w:b w:val="false"/>
                <w:color w:val="231F20"/>
                <w:sz w:val="18"/>
              </w:rPr>
            </w:pPr>
            <w:r>
              <w:rPr>
                <w:rFonts w:ascii="Times New Roman;serif" w:hAnsi="Times New Roman;serif"/>
                <w:b w:val="false"/>
                <w:color w:val="231F20"/>
                <w:sz w:val="18"/>
              </w:rPr>
              <w:t>Net loss</w:t>
            </w:r>
          </w:p>
        </w:tc>
        <w:tc>
          <w:tcPr>
            <w:tcW w:w="196"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(42,051)</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(15,140)</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(62,655)</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(27,345)</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88" w:before="29" w:after="283"/>
              <w:jc w:val="left"/>
              <w:rPr>
                <w:rFonts w:ascii="Times New Roman;serif" w:hAnsi="Times New Roman;serif"/>
                <w:b w:val="false"/>
                <w:color w:val="231F20"/>
                <w:sz w:val="18"/>
              </w:rPr>
            </w:pPr>
            <w:r>
              <w:rPr>
                <w:rFonts w:ascii="Times New Roman;serif" w:hAnsi="Times New Roman;serif"/>
                <w:b w:val="false"/>
                <w:color w:val="231F20"/>
                <w:sz w:val="18"/>
              </w:rPr>
              <w:t>Cumulative translation adjustment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DFF" w:val="clear"/>
            <w:tcMar>
              <w:top w:w="0" w:type="dxa"/>
              <w:left w:w="0" w:type="dxa"/>
              <w:bottom w:w="0" w:type="dxa"/>
              <w:right w:w="0" w:type="dxa"/>
            </w:tcMar>
            <w:vAlign w:val="center"/>
          </w:tcPr>
          <w:p>
            <w:pPr>
              <w:pStyle w:val="TableContents"/>
              <w:bidi w:val="0"/>
              <w:spacing w:lineRule="atLeast" w:line="210" w:before="29" w:after="283"/>
              <w:jc w:val="left"/>
              <w:rPr>
                <w:rFonts w:ascii="Times New Roman;serif" w:hAnsi="Times New Roman;serif"/>
                <w:b/>
                <w:color w:val="231F20"/>
                <w:sz w:val="18"/>
              </w:rPr>
            </w:pPr>
            <w:r>
              <w:rPr>
                <w:rFonts w:ascii="Times New Roman;serif" w:hAnsi="Times New Roman;serif"/>
                <w:b/>
                <w:color w:val="231F20"/>
                <w:sz w:val="18"/>
              </w:rPr>
              <w:t>Net comprehensive loss</w:t>
            </w:r>
          </w:p>
        </w:tc>
        <w:tc>
          <w:tcPr>
            <w:tcW w:w="19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(41,597)</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(14,224)</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(62,418)</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(26,366)</w:t>
            </w:r>
          </w:p>
        </w:tc>
        <w:tc>
          <w:tcPr>
            <w:tcW w:w="154"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70" w:after="283"/>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Net loss per share and weighted average shares outstanding have been retroactively recast after giving effect to the Reverse Recapitalization.</w:t>
      </w:r>
    </w:p>
    <w:p>
      <w:pPr>
        <w:pStyle w:val="TextBody"/>
        <w:bidi w:val="0"/>
        <w:spacing w:lineRule="auto" w:line="240" w:before="170" w:after="283"/>
        <w:jc w:val="center"/>
        <w:rPr/>
      </w:pPr>
      <w:r>
        <w:rPr>
          <w:rFonts w:ascii="Times New Roman;serif" w:hAnsi="Times New Roman;serif"/>
          <w:b w:val="false"/>
          <w:color w:val="231F20"/>
          <w:sz w:val="18"/>
        </w:rPr>
        <w:t>See</w:t>
      </w:r>
      <w:r>
        <w:rPr>
          <w:color w:val="231F20"/>
        </w:rPr>
        <w:t xml:space="preserve"> </w:t>
      </w:r>
      <w:r>
        <w:rPr>
          <w:rFonts w:ascii="Times New Roman;serif" w:hAnsi="Times New Roman;serif"/>
          <w:b w:val="false"/>
          <w:color w:val="231F20"/>
          <w:sz w:val="18"/>
        </w:rPr>
        <w:t>accompanying</w:t>
      </w:r>
      <w:r>
        <w:rPr>
          <w:color w:val="231F20"/>
        </w:rPr>
        <w:t xml:space="preserve"> </w:t>
      </w:r>
      <w:r>
        <w:rPr>
          <w:rFonts w:ascii="Times New Roman;serif" w:hAnsi="Times New Roman;serif"/>
          <w:b w:val="false"/>
          <w:color w:val="231F20"/>
          <w:sz w:val="18"/>
        </w:rPr>
        <w:t>notes</w:t>
      </w:r>
      <w:r>
        <w:rPr>
          <w:color w:val="231F20"/>
        </w:rPr>
        <w:t xml:space="preserve"> </w:t>
      </w:r>
      <w:r>
        <w:rPr>
          <w:rFonts w:ascii="Times New Roman;serif" w:hAnsi="Times New Roman;serif"/>
          <w:b w:val="false"/>
          <w:color w:val="231F20"/>
          <w:sz w:val="18"/>
        </w:rPr>
        <w:t>to condensed</w:t>
      </w:r>
      <w:r>
        <w:rPr>
          <w:color w:val="231F20"/>
        </w:rPr>
        <w:t xml:space="preserve"> </w:t>
      </w:r>
      <w:r>
        <w:rPr>
          <w:rFonts w:ascii="Times New Roman;serif" w:hAnsi="Times New Roman;serif"/>
          <w:b w:val="false"/>
          <w:color w:val="231F20"/>
          <w:sz w:val="18"/>
        </w:rPr>
        <w:t>consolidated</w:t>
      </w:r>
      <w:r>
        <w:rPr>
          <w:color w:val="231F20"/>
        </w:rPr>
        <w:t xml:space="preserve"> </w:t>
      </w:r>
      <w:r>
        <w:rPr>
          <w:rFonts w:ascii="Times New Roman;serif" w:hAnsi="Times New Roman;serif"/>
          <w:b w:val="false"/>
          <w:color w:val="231F20"/>
          <w:sz w:val="18"/>
        </w:rPr>
        <w:t>financial</w:t>
      </w:r>
      <w:r>
        <w:rPr>
          <w:color w:val="231F20"/>
        </w:rPr>
        <w:t xml:space="preserve"> </w:t>
      </w:r>
      <w:r>
        <w:rPr>
          <w:rFonts w:ascii="Times New Roman;serif" w:hAnsi="Times New Roman;serif"/>
          <w:b w:val="false"/>
          <w:color w:val="231F20"/>
          <w:sz w:val="18"/>
        </w:rPr>
        <w:t>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6840"/>
                <wp:effectExtent l="0" t="0" r="0" b="0"/>
                <wp:wrapNone/>
                <wp:docPr id="18" name="Frame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7</w:t>
                      </w:r>
                    </w:p>
                  </w:txbxContent>
                </v:textbox>
                <w10:wrap type="none"/>
              </v:rect>
            </w:pict>
          </mc:Fallback>
        </mc:AlternateContent>
      </w:r>
    </w:p>
    <w:p>
      <w:pPr>
        <w:pStyle w:val="TextBody"/>
        <w:bidi w:val="0"/>
        <w:spacing w:lineRule="auto" w:line="288" w:before="0" w:after="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XANADU QUANTUM TECHNOLOGIES LIMITED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288" w:before="0" w:after="200"/>
        <w:jc w:val="center"/>
        <w:rPr>
          <w:rFonts w:ascii="Times New Roman;serif" w:hAnsi="Times New Roman;serif"/>
          <w:b/>
          <w:color w:val="231F20"/>
          <w:sz w:val="20"/>
        </w:rPr>
      </w:pPr>
      <w:r>
        <w:rPr>
          <w:rFonts w:ascii="Times New Roman;serif" w:hAnsi="Times New Roman;serif"/>
          <w:b/>
          <w:color w:val="231F20"/>
          <w:sz w:val="20"/>
        </w:rPr>
        <w:t>(In thousands, except for share and per share amounts)</w:t>
      </w:r>
    </w:p>
    <w:p>
      <w:pPr>
        <w:pStyle w:val="TextBody"/>
        <w:bidi w:val="0"/>
        <w:spacing w:before="120" w:after="120"/>
        <w:jc w:val="center"/>
        <w:rPr/>
      </w:pPr>
      <w:r>
        <w:rPr/>
      </w:r>
    </w:p>
    <w:tbl>
      <w:tblPr>
        <w:tblW w:w="10205" w:type="dxa"/>
        <w:jc w:val="center"/>
        <w:tblInd w:w="0" w:type="dxa"/>
        <w:tblLayout w:type="fixed"/>
        <w:tblCellMar>
          <w:top w:w="28" w:type="dxa"/>
          <w:left w:w="28" w:type="dxa"/>
          <w:bottom w:w="28" w:type="dxa"/>
          <w:right w:w="28" w:type="dxa"/>
        </w:tblCellMar>
      </w:tblPr>
      <w:tblGrid>
        <w:gridCol w:w="2827"/>
        <w:gridCol w:w="2379"/>
        <w:gridCol w:w="2397"/>
        <w:gridCol w:w="196"/>
        <w:gridCol w:w="751"/>
        <w:gridCol w:w="109"/>
        <w:gridCol w:w="109"/>
        <w:gridCol w:w="109"/>
        <w:gridCol w:w="109"/>
        <w:gridCol w:w="196"/>
        <w:gridCol w:w="709"/>
        <w:gridCol w:w="314"/>
      </w:tblGrid>
      <w:tr>
        <w:trPr/>
        <w:tc>
          <w:tcPr>
            <w:tcW w:w="2827"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7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8"/>
              </w:rPr>
            </w:pPr>
            <w:r>
              <w:rPr>
                <w:rFonts w:ascii="Times New Roman;serif" w:hAnsi="Times New Roman;serif"/>
                <w:b/>
                <w:color w:val="231F20"/>
                <w:sz w:val="18"/>
              </w:rPr>
              <w:t>Six Months Ended June 30,</w:t>
            </w:r>
          </w:p>
        </w:tc>
      </w:tr>
      <w:tr>
        <w:trPr/>
        <w:tc>
          <w:tcPr>
            <w:tcW w:w="7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603"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56" w:type="dxa"/>
            <w:gridSpan w:val="3"/>
            <w:tcBorders>
              <w:top w:val="single" w:sz="4"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4"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 xml:space="preserve">Net loss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(27,345)</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105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2,535 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D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 xml:space="preserve">Amortization of operating right of use assets </w:t>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31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 xml:space="preserve">Stock-based compensation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D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 xml:space="preserve">Amortization of debt issuance costs </w:t>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31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 xml:space="preserve">Interest accretion on long-term debt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D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Change in fair value of financial instruments</w:t>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10,566 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31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 xml:space="preserve">Other non-cash adjustments, net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D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operating assets and liabilities: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D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 xml:space="preserve">Accounts receivable </w:t>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5,880 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31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 xml:space="preserve">Material and supplies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(4,686)</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D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 xml:space="preserve">Prepaid expenses and other current assets </w:t>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(3,645)</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w:t>
            </w:r>
          </w:p>
        </w:tc>
        <w:tc>
          <w:tcPr>
            <w:tcW w:w="31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 xml:space="preserve">Accounts payable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D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 xml:space="preserve">Accrued expenses and other current liabilities </w:t>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4,652 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921 </w:t>
            </w:r>
          </w:p>
        </w:tc>
        <w:tc>
          <w:tcPr>
            <w:tcW w:w="31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D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Deferred grant income</w:t>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2,838 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 xml:space="preserve">Operating lease liabilities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DFF" w:val="clear"/>
            <w:tcMar>
              <w:top w:w="0" w:type="dxa"/>
              <w:left w:w="0" w:type="dxa"/>
              <w:bottom w:w="0" w:type="dxa"/>
              <w:right w:w="0" w:type="dxa"/>
            </w:tcMar>
            <w:vAlign w:val="center"/>
          </w:tcPr>
          <w:p>
            <w:pPr>
              <w:pStyle w:val="TableContents"/>
              <w:bidi w:val="0"/>
              <w:spacing w:lineRule="atLeast" w:line="229" w:before="0" w:after="283"/>
              <w:jc w:val="left"/>
              <w:rPr>
                <w:rFonts w:ascii="Times New Roman;serif" w:hAnsi="Times New Roman;serif"/>
                <w:b w:val="false"/>
                <w:color w:val="231F20"/>
                <w:sz w:val="18"/>
              </w:rPr>
            </w:pPr>
            <w:r>
              <w:rPr>
                <w:rFonts w:ascii="Times New Roman;serif" w:hAnsi="Times New Roman;serif"/>
                <w:b w:val="false"/>
                <w:color w:val="231F20"/>
                <w:sz w:val="18"/>
              </w:rPr>
              <w:t>Long-term deposits</w:t>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color w:val="000000"/>
                <w:sz w:val="18"/>
              </w:rPr>
            </w:pPr>
            <w:r>
              <w:rPr>
                <w:rFonts w:ascii="Times New Roman;serif" w:hAnsi="Times New Roman;serif"/>
                <w:b/>
                <w:color w:val="000000"/>
                <w:sz w:val="18"/>
              </w:rPr>
              <w:t xml:space="preserve">Net cash used in operating activities </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(27,374)</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D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Proceeds from reverse recapitalization and Private Investment in Public Equity ("PIPE") transaction, net of transaction costs</w:t>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263,599 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shd w:fill="CCED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issuance of common shares from synthetic at-the-market facility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D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31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Proceeds from long-term debt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5,611 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D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color w:val="000000"/>
                <w:sz w:val="18"/>
              </w:rPr>
            </w:pPr>
            <w:r>
              <w:rPr>
                <w:rFonts w:ascii="Times New Roman;serif" w:hAnsi="Times New Roman;serif"/>
                <w:b/>
                <w:color w:val="000000"/>
                <w:sz w:val="18"/>
              </w:rPr>
              <w:t>Net cash provided by financing activities</w:t>
            </w:r>
          </w:p>
        </w:tc>
        <w:tc>
          <w:tcPr>
            <w:tcW w:w="947" w:type="dxa"/>
            <w:gridSpan w:val="2"/>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334,236 </w:t>
            </w:r>
          </w:p>
        </w:tc>
        <w:tc>
          <w:tcPr>
            <w:tcW w:w="109"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5,673 </w:t>
            </w:r>
          </w:p>
        </w:tc>
        <w:tc>
          <w:tcPr>
            <w:tcW w:w="314"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5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Purchase of property and equipment, including equipment deposits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(4,320)</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D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Purchase of intangible assets</w:t>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w:t>
            </w:r>
          </w:p>
        </w:tc>
        <w:tc>
          <w:tcPr>
            <w:tcW w:w="31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(7,160)</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(5,890)</w:t>
            </w:r>
          </w:p>
        </w:tc>
        <w:tc>
          <w:tcPr>
            <w:tcW w:w="3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Effects of foreign exchange rates on cash and cash equivalents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D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Increase (decrease) in cash and cash equivalents </w:t>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296,616 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(27,025)</w:t>
            </w:r>
          </w:p>
        </w:tc>
        <w:tc>
          <w:tcPr>
            <w:tcW w:w="31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Cash and cash equivalents, beginning of period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77,619 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D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 xml:space="preserve">Cash and cash equivalents, end of period </w:t>
            </w:r>
          </w:p>
        </w:tc>
        <w:tc>
          <w:tcPr>
            <w:tcW w:w="196"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312,780</w:t>
            </w:r>
            <w:r>
              <w:rPr>
                <w:color w:val="000000"/>
              </w:rPr>
              <w:t> </w:t>
            </w:r>
          </w:p>
        </w:tc>
        <w:tc>
          <w:tcPr>
            <w:tcW w:w="109"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9"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50,594</w:t>
            </w:r>
            <w:r>
              <w:rPr>
                <w:color w:val="000000"/>
              </w:rPr>
              <w:t> </w:t>
            </w:r>
          </w:p>
        </w:tc>
        <w:tc>
          <w:tcPr>
            <w:tcW w:w="314"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6840"/>
                <wp:effectExtent l="0" t="0" r="0" b="0"/>
                <wp:wrapNone/>
                <wp:docPr id="19" name="Frame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8</w:t>
                      </w:r>
                    </w:p>
                  </w:txbxContent>
                </v:textbox>
                <w10:wrap type="none"/>
              </v:rect>
            </w:pict>
          </mc:Fallback>
        </mc:AlternateContent>
      </w:r>
    </w:p>
    <w:p>
      <w:pPr>
        <w:pStyle w:val="TextBody"/>
        <w:bidi w:val="0"/>
        <w:spacing w:lineRule="auto" w:line="288" w:before="0" w:after="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XANADU QUANTUM TECHNOLOGIES LIMITED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288" w:before="0" w:after="200"/>
        <w:jc w:val="center"/>
        <w:rPr>
          <w:rFonts w:ascii="Times New Roman;serif" w:hAnsi="Times New Roman;serif"/>
          <w:b/>
          <w:color w:val="231F20"/>
          <w:sz w:val="20"/>
        </w:rPr>
      </w:pPr>
      <w:r>
        <w:rPr>
          <w:rFonts w:ascii="Times New Roman;serif" w:hAnsi="Times New Roman;serif"/>
          <w:b/>
          <w:color w:val="231F20"/>
          <w:sz w:val="20"/>
        </w:rPr>
        <w:t>(In thousands, except for share and per share amounts)</w:t>
      </w:r>
    </w:p>
    <w:tbl>
      <w:tblPr>
        <w:tblW w:w="8829" w:type="dxa"/>
        <w:jc w:val="center"/>
        <w:tblInd w:w="0" w:type="dxa"/>
        <w:tblLayout w:type="fixed"/>
        <w:tblCellMar>
          <w:top w:w="28" w:type="dxa"/>
          <w:left w:w="28" w:type="dxa"/>
          <w:bottom w:w="28" w:type="dxa"/>
          <w:right w:w="28" w:type="dxa"/>
        </w:tblCellMar>
      </w:tblPr>
      <w:tblGrid>
        <w:gridCol w:w="2464"/>
        <w:gridCol w:w="2160"/>
        <w:gridCol w:w="2171"/>
        <w:gridCol w:w="196"/>
        <w:gridCol w:w="646"/>
        <w:gridCol w:w="109"/>
        <w:gridCol w:w="109"/>
        <w:gridCol w:w="109"/>
        <w:gridCol w:w="109"/>
        <w:gridCol w:w="196"/>
        <w:gridCol w:w="406"/>
        <w:gridCol w:w="154"/>
      </w:tblGrid>
      <w:tr>
        <w:trPr/>
        <w:tc>
          <w:tcPr>
            <w:tcW w:w="2464"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 of non-cash investing and financing activities:</w:t>
            </w:r>
          </w:p>
        </w:tc>
        <w:tc>
          <w:tcPr>
            <w:tcW w:w="95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acquired through operating leases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D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Capitalized stock-based compensation </w:t>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Purchases of property and equipment and intangible assets included in accounts payable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of earn-out shares to equity</w:t>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17,761 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of Old Xanadu convertible preferred shares to Class A Multiple Voting Shares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warrant liabilities to additional paid-in capital</w:t>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additional paid-in capital to share capital upon cashless exercise of warrants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Recognition of earn-out share liability at closing of Reverse Recapitalization</w:t>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480"/>
        <w:jc w:val="center"/>
        <w:rPr/>
      </w:pPr>
      <w:r>
        <w:rPr>
          <w:rFonts w:ascii="Times New Roman;serif" w:hAnsi="Times New Roman;serif"/>
          <w:b w:val="false"/>
          <w:color w:val="231F20"/>
          <w:sz w:val="18"/>
        </w:rPr>
        <w:t>See</w:t>
      </w:r>
      <w:r>
        <w:rPr>
          <w:color w:val="231F20"/>
        </w:rPr>
        <w:t xml:space="preserve"> </w:t>
      </w:r>
      <w:r>
        <w:rPr>
          <w:rFonts w:ascii="Times New Roman;serif" w:hAnsi="Times New Roman;serif"/>
          <w:b w:val="false"/>
          <w:color w:val="231F20"/>
          <w:sz w:val="18"/>
        </w:rPr>
        <w:t>accompanying</w:t>
      </w:r>
      <w:r>
        <w:rPr>
          <w:color w:val="231F20"/>
        </w:rPr>
        <w:t xml:space="preserve"> </w:t>
      </w:r>
      <w:r>
        <w:rPr>
          <w:rFonts w:ascii="Times New Roman;serif" w:hAnsi="Times New Roman;serif"/>
          <w:b w:val="false"/>
          <w:color w:val="231F20"/>
          <w:sz w:val="18"/>
        </w:rPr>
        <w:t>notes</w:t>
      </w:r>
      <w:r>
        <w:rPr>
          <w:color w:val="231F20"/>
        </w:rPr>
        <w:t xml:space="preserve"> </w:t>
      </w:r>
      <w:r>
        <w:rPr>
          <w:rFonts w:ascii="Times New Roman;serif" w:hAnsi="Times New Roman;serif"/>
          <w:b w:val="false"/>
          <w:color w:val="231F20"/>
          <w:sz w:val="18"/>
        </w:rPr>
        <w:t>to condensed</w:t>
      </w:r>
      <w:r>
        <w:rPr>
          <w:color w:val="231F20"/>
        </w:rPr>
        <w:t xml:space="preserve"> </w:t>
      </w:r>
      <w:r>
        <w:rPr>
          <w:rFonts w:ascii="Times New Roman;serif" w:hAnsi="Times New Roman;serif"/>
          <w:b w:val="false"/>
          <w:color w:val="231F20"/>
          <w:sz w:val="18"/>
        </w:rPr>
        <w:t>consolidated</w:t>
      </w:r>
      <w:r>
        <w:rPr>
          <w:color w:val="231F20"/>
        </w:rPr>
        <w:t xml:space="preserve"> </w:t>
      </w:r>
      <w:r>
        <w:rPr>
          <w:rFonts w:ascii="Times New Roman;serif" w:hAnsi="Times New Roman;serif"/>
          <w:b w:val="false"/>
          <w:color w:val="231F20"/>
          <w:sz w:val="18"/>
        </w:rPr>
        <w:t>financial</w:t>
      </w:r>
      <w:r>
        <w:rPr>
          <w:color w:val="231F20"/>
        </w:rPr>
        <w:t xml:space="preserve"> </w:t>
      </w:r>
      <w:r>
        <w:rPr>
          <w:rFonts w:ascii="Times New Roman;serif" w:hAnsi="Times New Roman;serif"/>
          <w:b w:val="false"/>
          <w:color w:val="231F20"/>
          <w:sz w:val="18"/>
        </w:rPr>
        <w:t>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6840"/>
                <wp:effectExtent l="0" t="0" r="0" b="0"/>
                <wp:wrapNone/>
                <wp:docPr id="20" name="Frame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9</w:t>
                      </w:r>
                    </w:p>
                  </w:txbxContent>
                </v:textbox>
                <w10:wrap type="none"/>
              </v:rect>
            </w:pict>
          </mc:Fallback>
        </mc:AlternateContent>
      </w:r>
    </w:p>
    <w:p>
      <w:pPr>
        <w:pStyle w:val="TextBody"/>
        <w:bidi w:val="0"/>
        <w:spacing w:lineRule="auto" w:line="288" w:before="11" w:after="283"/>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XANADU QUANTUM TECHNOLOGIES LIMITED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Shareholders’ Equity (Unaudited)</w:t>
      </w:r>
    </w:p>
    <w:p>
      <w:pPr>
        <w:pStyle w:val="TextBody"/>
        <w:bidi w:val="0"/>
        <w:spacing w:lineRule="auto" w:line="288" w:before="0" w:after="200"/>
        <w:jc w:val="center"/>
        <w:rPr>
          <w:rFonts w:ascii="Times New Roman;serif" w:hAnsi="Times New Roman;serif"/>
          <w:b/>
          <w:color w:val="231F20"/>
          <w:sz w:val="20"/>
        </w:rPr>
      </w:pPr>
      <w:r>
        <w:rPr>
          <w:rFonts w:ascii="Times New Roman;serif" w:hAnsi="Times New Roman;serif"/>
          <w:b/>
          <w:color w:val="231F20"/>
          <w:sz w:val="20"/>
        </w:rPr>
        <w:t>(In thousands, except for share and per share amounts)</w:t>
      </w:r>
    </w:p>
    <w:tbl>
      <w:tblPr>
        <w:tblW w:w="10205" w:type="dxa"/>
        <w:jc w:val="center"/>
        <w:tblInd w:w="0" w:type="dxa"/>
        <w:tblLayout w:type="fixed"/>
        <w:tblCellMar>
          <w:top w:w="28" w:type="dxa"/>
          <w:left w:w="28" w:type="dxa"/>
          <w:bottom w:w="28" w:type="dxa"/>
          <w:right w:w="28" w:type="dxa"/>
        </w:tblCellMar>
      </w:tblPr>
      <w:tblGrid>
        <w:gridCol w:w="1037"/>
        <w:gridCol w:w="664"/>
        <w:gridCol w:w="668"/>
        <w:gridCol w:w="109"/>
        <w:gridCol w:w="109"/>
        <w:gridCol w:w="109"/>
        <w:gridCol w:w="450"/>
        <w:gridCol w:w="451"/>
        <w:gridCol w:w="283"/>
        <w:gridCol w:w="115"/>
        <w:gridCol w:w="115"/>
        <w:gridCol w:w="115"/>
        <w:gridCol w:w="192"/>
        <w:gridCol w:w="688"/>
        <w:gridCol w:w="115"/>
        <w:gridCol w:w="109"/>
        <w:gridCol w:w="109"/>
        <w:gridCol w:w="181"/>
        <w:gridCol w:w="571"/>
        <w:gridCol w:w="109"/>
        <w:gridCol w:w="109"/>
        <w:gridCol w:w="109"/>
        <w:gridCol w:w="109"/>
        <w:gridCol w:w="181"/>
        <w:gridCol w:w="646"/>
        <w:gridCol w:w="109"/>
        <w:gridCol w:w="109"/>
        <w:gridCol w:w="109"/>
        <w:gridCol w:w="109"/>
        <w:gridCol w:w="265"/>
        <w:gridCol w:w="573"/>
        <w:gridCol w:w="161"/>
        <w:gridCol w:w="109"/>
        <w:gridCol w:w="109"/>
        <w:gridCol w:w="109"/>
        <w:gridCol w:w="181"/>
        <w:gridCol w:w="646"/>
        <w:gridCol w:w="163"/>
      </w:tblGrid>
      <w:tr>
        <w:trPr/>
        <w:tc>
          <w:tcPr>
            <w:tcW w:w="103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Shares (Class A &amp;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Additional </w:t>
              <w:b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w:t>
              <w:br/>
              <w:t xml:space="preserve">other </w:t>
              <w:br/>
              <w:t xml:space="preserve">comprehensive </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4"/>
              </w:rPr>
            </w:pPr>
            <w:r>
              <w:rPr>
                <w:rFonts w:ascii="Times New Roman;serif" w:hAnsi="Times New Roman;serif"/>
                <w:b/>
                <w:color w:val="231F20"/>
                <w:sz w:val="14"/>
              </w:rPr>
              <w:t>Number</w:t>
            </w:r>
          </w:p>
        </w:tc>
        <w:tc>
          <w:tcPr>
            <w:tcW w:w="34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99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March 31, 2026</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298,511,339</w:t>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4"/>
              </w:rPr>
            </w:pPr>
            <w:r>
              <w:rPr>
                <w:rFonts w:ascii="Times New Roman;serif" w:hAnsi="Times New Roman;serif"/>
                <w:b w:val="false"/>
                <w:color w:val="231F20"/>
                <w:sz w:val="14"/>
              </w:rPr>
              <w:t>$</w:t>
            </w:r>
          </w:p>
        </w:tc>
        <w:tc>
          <w:tcPr>
            <w:tcW w:w="688"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478,174 </w:t>
            </w:r>
          </w:p>
        </w:tc>
        <w:tc>
          <w:tcPr>
            <w:tcW w:w="115"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12,325 </w:t>
            </w:r>
          </w:p>
        </w:tc>
        <w:tc>
          <w:tcPr>
            <w:tcW w:w="109"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(228,314)</w:t>
            </w:r>
          </w:p>
        </w:tc>
        <w:tc>
          <w:tcPr>
            <w:tcW w:w="109"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3"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(208)</w:t>
            </w:r>
          </w:p>
        </w:tc>
        <w:tc>
          <w:tcPr>
            <w:tcW w:w="161"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261,977 </w:t>
            </w:r>
          </w:p>
        </w:tc>
        <w:tc>
          <w:tcPr>
            <w:tcW w:w="163"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Loss for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(42,051)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28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1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4,758 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4,758 </w:t>
            </w:r>
          </w:p>
        </w:tc>
        <w:tc>
          <w:tcPr>
            <w:tcW w:w="16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Exercise of stock options,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145,161</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(28)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Conversion earn-out liabilities to equity</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17,761 </w:t>
            </w:r>
          </w:p>
        </w:tc>
        <w:tc>
          <w:tcPr>
            <w:tcW w:w="11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17,761 </w:t>
            </w:r>
          </w:p>
        </w:tc>
        <w:tc>
          <w:tcPr>
            <w:tcW w:w="16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shares in connection with synthetic at-the-market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5,467,524</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68,815 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68,815 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4"/>
              </w:rPr>
            </w:pPr>
            <w:r>
              <w:rPr>
                <w:rFonts w:ascii="Times New Roman;serif" w:hAnsi="Times New Roman;serif"/>
                <w:b w:val="false"/>
                <w:color w:val="231F20"/>
                <w:sz w:val="14"/>
              </w:rPr>
              <w:t>Issuance of common shares for advisor fees related to the Reverse Recapitalization</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100,000</w:t>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1,445 </w:t>
            </w:r>
          </w:p>
        </w:tc>
        <w:tc>
          <w:tcPr>
            <w:tcW w:w="11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1,445 </w:t>
            </w:r>
          </w:p>
        </w:tc>
        <w:tc>
          <w:tcPr>
            <w:tcW w:w="16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Cumulative translation adjustment,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454 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4"/>
              </w:rPr>
            </w:pPr>
            <w:r>
              <w:rPr>
                <w:rFonts w:ascii="Times New Roman;serif" w:hAnsi="Times New Roman;serif"/>
                <w:b/>
                <w:color w:val="231F20"/>
                <w:sz w:val="14"/>
              </w:rPr>
              <w:t>Balance, June 30, 2026</w:t>
            </w:r>
          </w:p>
        </w:tc>
        <w:tc>
          <w:tcPr>
            <w:tcW w:w="327" w:type="dxa"/>
            <w:gridSpan w:val="3"/>
            <w:tcBorders>
              <w:top w:val="single" w:sz="4"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304,224,024</w:t>
            </w:r>
            <w:r>
              <w:rPr>
                <w:color w:val="000000"/>
              </w:rPr>
              <w:t> </w:t>
            </w:r>
          </w:p>
        </w:tc>
        <w:tc>
          <w:tcPr>
            <w:tcW w:w="283"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14"/>
              </w:rPr>
            </w:pPr>
            <w:r>
              <w:rPr>
                <w:rFonts w:ascii="Times New Roman;serif" w:hAnsi="Times New Roman;serif"/>
                <w:b/>
                <w:color w:val="231F20"/>
                <w:sz w:val="14"/>
              </w:rPr>
              <w:t>$</w:t>
            </w:r>
          </w:p>
        </w:tc>
        <w:tc>
          <w:tcPr>
            <w:tcW w:w="688"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14"/>
              </w:rPr>
              <w:t>566,167</w:t>
            </w:r>
            <w:r>
              <w:rPr>
                <w:color w:val="231F20"/>
              </w:rPr>
              <w:t> </w:t>
            </w:r>
          </w:p>
        </w:tc>
        <w:tc>
          <w:tcPr>
            <w:tcW w:w="115"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7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17,027</w:t>
            </w:r>
            <w:r>
              <w:rPr>
                <w:color w:val="000000"/>
              </w:rPr>
              <w:t> </w:t>
            </w:r>
          </w:p>
        </w:tc>
        <w:tc>
          <w:tcPr>
            <w:tcW w:w="109"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14"/>
              </w:rPr>
            </w:pPr>
            <w:r>
              <w:rPr>
                <w:rFonts w:ascii="Times New Roman;serif" w:hAnsi="Times New Roman;serif"/>
                <w:b/>
                <w:color w:val="231F20"/>
                <w:sz w:val="14"/>
              </w:rPr>
              <w:t>$</w:t>
            </w:r>
          </w:p>
        </w:tc>
        <w:tc>
          <w:tcPr>
            <w:tcW w:w="646"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231F20"/>
                <w:sz w:val="14"/>
              </w:rPr>
            </w:pPr>
            <w:r>
              <w:rPr>
                <w:rFonts w:ascii="Times New Roman;serif" w:hAnsi="Times New Roman;serif"/>
                <w:b/>
                <w:color w:val="231F20"/>
                <w:sz w:val="14"/>
              </w:rPr>
              <w:t>(270,365)</w:t>
            </w:r>
          </w:p>
        </w:tc>
        <w:tc>
          <w:tcPr>
            <w:tcW w:w="109"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14"/>
              </w:rPr>
            </w:pPr>
            <w:r>
              <w:rPr>
                <w:rFonts w:ascii="Times New Roman;serif" w:hAnsi="Times New Roman;serif"/>
                <w:b/>
                <w:color w:val="231F20"/>
                <w:sz w:val="14"/>
              </w:rPr>
              <w:t>$</w:t>
            </w:r>
          </w:p>
        </w:tc>
        <w:tc>
          <w:tcPr>
            <w:tcW w:w="573"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14"/>
              </w:rPr>
              <w:t>246</w:t>
            </w:r>
            <w:r>
              <w:rPr>
                <w:color w:val="231F20"/>
              </w:rPr>
              <w:t> </w:t>
            </w:r>
          </w:p>
        </w:tc>
        <w:tc>
          <w:tcPr>
            <w:tcW w:w="16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313,075</w:t>
            </w:r>
            <w:r>
              <w:rPr>
                <w:color w:val="000000"/>
              </w:rPr>
              <w:t> </w:t>
            </w:r>
          </w:p>
        </w:tc>
        <w:tc>
          <w:tcPr>
            <w:tcW w:w="163"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170"/>
        <w:jc w:val="center"/>
        <w:rPr/>
      </w:pPr>
      <w:r>
        <w:rPr/>
      </w:r>
    </w:p>
    <w:p>
      <w:pPr>
        <w:pStyle w:val="TextBody"/>
        <w:bidi w:val="0"/>
        <w:spacing w:before="0" w:after="0"/>
        <w:ind w:left="0" w:right="0" w:hanging="480"/>
        <w:jc w:val="center"/>
        <w:rPr/>
      </w:pPr>
      <w:r>
        <w:rPr/>
      </w:r>
    </w:p>
    <w:tbl>
      <w:tblPr>
        <w:tblW w:w="12010" w:type="dxa"/>
        <w:jc w:val="center"/>
        <w:tblInd w:w="0" w:type="dxa"/>
        <w:tblLayout w:type="fixed"/>
        <w:tblCellMar>
          <w:top w:w="28" w:type="dxa"/>
          <w:left w:w="28" w:type="dxa"/>
          <w:bottom w:w="28" w:type="dxa"/>
          <w:right w:w="28" w:type="dxa"/>
        </w:tblCellMar>
      </w:tblPr>
      <w:tblGrid>
        <w:gridCol w:w="528"/>
        <w:gridCol w:w="201"/>
        <w:gridCol w:w="202"/>
        <w:gridCol w:w="279"/>
        <w:gridCol w:w="279"/>
        <w:gridCol w:w="283"/>
        <w:gridCol w:w="109"/>
        <w:gridCol w:w="109"/>
        <w:gridCol w:w="109"/>
        <w:gridCol w:w="181"/>
        <w:gridCol w:w="646"/>
        <w:gridCol w:w="109"/>
        <w:gridCol w:w="109"/>
        <w:gridCol w:w="109"/>
        <w:gridCol w:w="109"/>
        <w:gridCol w:w="254"/>
        <w:gridCol w:w="254"/>
        <w:gridCol w:w="258"/>
        <w:gridCol w:w="109"/>
        <w:gridCol w:w="109"/>
        <w:gridCol w:w="109"/>
        <w:gridCol w:w="181"/>
        <w:gridCol w:w="496"/>
        <w:gridCol w:w="109"/>
        <w:gridCol w:w="109"/>
        <w:gridCol w:w="109"/>
        <w:gridCol w:w="109"/>
        <w:gridCol w:w="109"/>
        <w:gridCol w:w="526"/>
        <w:gridCol w:w="109"/>
        <w:gridCol w:w="181"/>
        <w:gridCol w:w="646"/>
        <w:gridCol w:w="109"/>
        <w:gridCol w:w="109"/>
        <w:gridCol w:w="109"/>
        <w:gridCol w:w="109"/>
        <w:gridCol w:w="181"/>
        <w:gridCol w:w="496"/>
        <w:gridCol w:w="109"/>
        <w:gridCol w:w="109"/>
        <w:gridCol w:w="109"/>
        <w:gridCol w:w="109"/>
        <w:gridCol w:w="194"/>
        <w:gridCol w:w="678"/>
        <w:gridCol w:w="119"/>
        <w:gridCol w:w="109"/>
        <w:gridCol w:w="109"/>
        <w:gridCol w:w="109"/>
        <w:gridCol w:w="181"/>
        <w:gridCol w:w="481"/>
        <w:gridCol w:w="109"/>
        <w:gridCol w:w="109"/>
        <w:gridCol w:w="109"/>
        <w:gridCol w:w="109"/>
        <w:gridCol w:w="181"/>
        <w:gridCol w:w="571"/>
        <w:gridCol w:w="154"/>
      </w:tblGrid>
      <w:tr>
        <w:trPr/>
        <w:tc>
          <w:tcPr>
            <w:tcW w:w="5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4"/>
              </w:rPr>
            </w:pPr>
            <w:r>
              <w:rPr>
                <w:rFonts w:ascii="Times New Roman;serif" w:hAnsi="Times New Roman;serif"/>
                <w:b/>
                <w:color w:val="231F20"/>
                <w:sz w:val="14"/>
              </w:rPr>
              <w:t>Old Xanadu Convertible Preferred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4"/>
              </w:rPr>
            </w:pPr>
            <w:r>
              <w:rPr>
                <w:rFonts w:ascii="Times New Roman;serif" w:hAnsi="Times New Roman;serif"/>
                <w:b/>
                <w:color w:val="231F20"/>
                <w:sz w:val="14"/>
              </w:rPr>
              <w:t>Old Xanadu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Total </w:t>
              <w:br/>
              <w:t xml:space="preserve">share </w:t>
              <w:br/>
              <w:t>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Additional </w:t>
              <w:b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4"/>
              </w:rPr>
            </w:pPr>
            <w:r>
              <w:rPr>
                <w:rFonts w:ascii="Times New Roman;serif" w:hAnsi="Times New Roman;serif"/>
                <w:b/>
                <w:color w:val="231F20"/>
                <w:sz w:val="14"/>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w:t>
              <w:br/>
              <w:t xml:space="preserve">other </w:t>
              <w:br/>
              <w:t xml:space="preserve">comprehensive </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1233" w:type="dxa"/>
            <w:gridSpan w:val="6"/>
            <w:tcBorders/>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Number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Number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March 31, 2025</w:t>
            </w:r>
          </w:p>
        </w:tc>
        <w:tc>
          <w:tcPr>
            <w:tcW w:w="841" w:type="dxa"/>
            <w:gridSpan w:val="3"/>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199,930,069</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213,002 </w:t>
            </w:r>
          </w:p>
        </w:tc>
        <w:tc>
          <w:tcPr>
            <w:tcW w:w="109"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55,704,955</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6"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7,475 </w:t>
            </w:r>
          </w:p>
        </w:tc>
        <w:tc>
          <w:tcPr>
            <w:tcW w:w="109"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220,477 </w:t>
            </w:r>
          </w:p>
        </w:tc>
        <w:tc>
          <w:tcPr>
            <w:tcW w:w="109"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6"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6,779 </w:t>
            </w:r>
          </w:p>
        </w:tc>
        <w:tc>
          <w:tcPr>
            <w:tcW w:w="109"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78"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(147,841)</w:t>
            </w:r>
          </w:p>
        </w:tc>
        <w:tc>
          <w:tcPr>
            <w:tcW w:w="119"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(3,144)</w:t>
            </w:r>
          </w:p>
        </w:tc>
        <w:tc>
          <w:tcPr>
            <w:tcW w:w="109"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76,271 </w:t>
            </w:r>
          </w:p>
        </w:tc>
        <w:tc>
          <w:tcPr>
            <w:tcW w:w="15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Loss for the period</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(15,140)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84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896 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896 </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Exercise of stock options, net of tax</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98,293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Cumulative translation adjustment, net of tax</w:t>
            </w:r>
          </w:p>
        </w:tc>
        <w:tc>
          <w:tcPr>
            <w:tcW w:w="84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916 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921 </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June 30, 2025</w:t>
            </w:r>
          </w:p>
        </w:tc>
        <w:tc>
          <w:tcPr>
            <w:tcW w:w="841"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199,930,069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213,002</w:t>
            </w: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55,803,248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7,486</w:t>
            </w: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220,488</w:t>
            </w: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7,677</w:t>
            </w: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7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(162,981)</w:t>
            </w:r>
          </w:p>
        </w:tc>
        <w:tc>
          <w:tcPr>
            <w:tcW w:w="11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(2,228)</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7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62,956</w:t>
            </w:r>
            <w:r>
              <w:rPr>
                <w:color w:val="000000"/>
              </w:rPr>
              <w:t>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20" w:after="283"/>
        <w:jc w:val="center"/>
        <w:rPr/>
      </w:pPr>
      <w:r>
        <w:rPr>
          <w:rFonts w:ascii="Times New Roman;serif" w:hAnsi="Times New Roman;serif"/>
          <w:b w:val="false"/>
          <w:color w:val="231F20"/>
          <w:sz w:val="18"/>
        </w:rPr>
        <w:t>See</w:t>
      </w:r>
      <w:r>
        <w:rPr>
          <w:color w:val="231F20"/>
        </w:rPr>
        <w:t xml:space="preserve"> </w:t>
      </w:r>
      <w:r>
        <w:rPr>
          <w:rFonts w:ascii="Times New Roman;serif" w:hAnsi="Times New Roman;serif"/>
          <w:b w:val="false"/>
          <w:color w:val="231F20"/>
          <w:sz w:val="18"/>
        </w:rPr>
        <w:t>accompanying</w:t>
      </w:r>
      <w:r>
        <w:rPr>
          <w:color w:val="231F20"/>
        </w:rPr>
        <w:t xml:space="preserve"> </w:t>
      </w:r>
      <w:r>
        <w:rPr>
          <w:rFonts w:ascii="Times New Roman;serif" w:hAnsi="Times New Roman;serif"/>
          <w:b w:val="false"/>
          <w:color w:val="231F20"/>
          <w:sz w:val="18"/>
        </w:rPr>
        <w:t>notes</w:t>
      </w:r>
      <w:r>
        <w:rPr>
          <w:color w:val="231F20"/>
        </w:rPr>
        <w:t xml:space="preserve"> </w:t>
      </w:r>
      <w:r>
        <w:rPr>
          <w:rFonts w:ascii="Times New Roman;serif" w:hAnsi="Times New Roman;serif"/>
          <w:b w:val="false"/>
          <w:color w:val="231F20"/>
          <w:sz w:val="18"/>
        </w:rPr>
        <w:t>to condensed</w:t>
      </w:r>
      <w:r>
        <w:rPr>
          <w:color w:val="231F20"/>
        </w:rPr>
        <w:t xml:space="preserve"> </w:t>
      </w:r>
      <w:r>
        <w:rPr>
          <w:rFonts w:ascii="Times New Roman;serif" w:hAnsi="Times New Roman;serif"/>
          <w:b w:val="false"/>
          <w:color w:val="231F20"/>
          <w:sz w:val="18"/>
        </w:rPr>
        <w:t>consolidated</w:t>
      </w:r>
      <w:r>
        <w:rPr>
          <w:color w:val="231F20"/>
        </w:rPr>
        <w:t xml:space="preserve"> </w:t>
      </w:r>
      <w:r>
        <w:rPr>
          <w:rFonts w:ascii="Times New Roman;serif" w:hAnsi="Times New Roman;serif"/>
          <w:b w:val="false"/>
          <w:color w:val="231F20"/>
          <w:sz w:val="18"/>
        </w:rPr>
        <w:t>financial</w:t>
      </w:r>
      <w:r>
        <w:rPr>
          <w:color w:val="231F20"/>
        </w:rPr>
        <w:t xml:space="preserve"> </w:t>
      </w:r>
      <w:r>
        <w:rPr>
          <w:rFonts w:ascii="Times New Roman;serif" w:hAnsi="Times New Roman;serif"/>
          <w:b w:val="false"/>
          <w:color w:val="231F20"/>
          <w:sz w:val="18"/>
        </w:rPr>
        <w:t>statements.</w:t>
      </w:r>
    </w:p>
    <w:p>
      <w:pPr>
        <w:pStyle w:val="TextBody"/>
        <w:bidi w:val="0"/>
        <w:spacing w:before="0" w:after="0"/>
        <w:jc w:val="center"/>
        <w:rPr/>
      </w:pPr>
      <w:r>
        <w:rPr/>
      </w:r>
    </w:p>
    <w:p>
      <w:pPr>
        <w:pStyle w:val="TextBody"/>
        <w:bidi w:val="0"/>
        <w:spacing w:before="240" w:after="240"/>
        <w:ind w:left="0" w:right="0" w:hanging="48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ind w:left="0" w:right="0" w:hanging="480"/>
        <w:jc w:val="center"/>
        <w:rPr/>
      </w:pPr>
      <w:r>
        <w:rPr/>
      </w:r>
    </w:p>
    <w:p>
      <w:pPr>
        <w:pStyle w:val="TextBody"/>
        <w:bidi w:val="0"/>
        <w:spacing w:before="0" w:after="0"/>
        <w:ind w:left="0" w:right="0" w:hanging="4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6840"/>
                <wp:effectExtent l="0" t="0" r="0" b="0"/>
                <wp:wrapNone/>
                <wp:docPr id="21" name="Frame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10</w:t>
                      </w:r>
                    </w:p>
                  </w:txbxContent>
                </v:textbox>
                <w10:wrap type="none"/>
              </v:rect>
            </w:pict>
          </mc:Fallback>
        </mc:AlternateContent>
      </w:r>
    </w:p>
    <w:p>
      <w:pPr>
        <w:pStyle w:val="TextBody"/>
        <w:bidi w:val="0"/>
        <w:spacing w:lineRule="auto" w:line="288" w:before="11" w:after="283"/>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XANADU QUANTUM TECHNOLOGIES LIMITED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Shareholders’ Equity (Unaudited) (continued)</w:t>
      </w:r>
    </w:p>
    <w:p>
      <w:pPr>
        <w:pStyle w:val="TextBody"/>
        <w:bidi w:val="0"/>
        <w:spacing w:lineRule="auto" w:line="288" w:before="0" w:after="200"/>
        <w:jc w:val="center"/>
        <w:rPr>
          <w:rFonts w:ascii="Times New Roman;serif" w:hAnsi="Times New Roman;serif"/>
          <w:b/>
          <w:color w:val="231F20"/>
          <w:sz w:val="20"/>
        </w:rPr>
      </w:pPr>
      <w:r>
        <w:rPr>
          <w:rFonts w:ascii="Times New Roman;serif" w:hAnsi="Times New Roman;serif"/>
          <w:b/>
          <w:color w:val="231F20"/>
          <w:sz w:val="20"/>
        </w:rPr>
        <w:t>(In thousands, except for share and per share amounts)</w:t>
      </w:r>
    </w:p>
    <w:tbl>
      <w:tblPr>
        <w:tblW w:w="14178" w:type="dxa"/>
        <w:jc w:val="center"/>
        <w:tblInd w:w="0" w:type="dxa"/>
        <w:tblLayout w:type="fixed"/>
        <w:tblCellMar>
          <w:top w:w="28" w:type="dxa"/>
          <w:left w:w="28" w:type="dxa"/>
          <w:bottom w:w="28" w:type="dxa"/>
          <w:right w:w="28" w:type="dxa"/>
        </w:tblCellMar>
      </w:tblPr>
      <w:tblGrid>
        <w:gridCol w:w="663"/>
        <w:gridCol w:w="201"/>
        <w:gridCol w:w="202"/>
        <w:gridCol w:w="292"/>
        <w:gridCol w:w="292"/>
        <w:gridCol w:w="302"/>
        <w:gridCol w:w="109"/>
        <w:gridCol w:w="109"/>
        <w:gridCol w:w="109"/>
        <w:gridCol w:w="181"/>
        <w:gridCol w:w="616"/>
        <w:gridCol w:w="109"/>
        <w:gridCol w:w="109"/>
        <w:gridCol w:w="109"/>
        <w:gridCol w:w="109"/>
        <w:gridCol w:w="267"/>
        <w:gridCol w:w="267"/>
        <w:gridCol w:w="277"/>
        <w:gridCol w:w="109"/>
        <w:gridCol w:w="109"/>
        <w:gridCol w:w="109"/>
        <w:gridCol w:w="181"/>
        <w:gridCol w:w="466"/>
        <w:gridCol w:w="109"/>
        <w:gridCol w:w="109"/>
        <w:gridCol w:w="109"/>
        <w:gridCol w:w="109"/>
        <w:gridCol w:w="450"/>
        <w:gridCol w:w="451"/>
        <w:gridCol w:w="283"/>
        <w:gridCol w:w="109"/>
        <w:gridCol w:w="109"/>
        <w:gridCol w:w="109"/>
        <w:gridCol w:w="181"/>
        <w:gridCol w:w="646"/>
        <w:gridCol w:w="109"/>
        <w:gridCol w:w="181"/>
        <w:gridCol w:w="646"/>
        <w:gridCol w:w="109"/>
        <w:gridCol w:w="109"/>
        <w:gridCol w:w="109"/>
        <w:gridCol w:w="109"/>
        <w:gridCol w:w="181"/>
        <w:gridCol w:w="571"/>
        <w:gridCol w:w="109"/>
        <w:gridCol w:w="109"/>
        <w:gridCol w:w="109"/>
        <w:gridCol w:w="109"/>
        <w:gridCol w:w="181"/>
        <w:gridCol w:w="631"/>
        <w:gridCol w:w="109"/>
        <w:gridCol w:w="109"/>
        <w:gridCol w:w="109"/>
        <w:gridCol w:w="109"/>
        <w:gridCol w:w="263"/>
        <w:gridCol w:w="568"/>
        <w:gridCol w:w="160"/>
        <w:gridCol w:w="109"/>
        <w:gridCol w:w="109"/>
        <w:gridCol w:w="109"/>
        <w:gridCol w:w="181"/>
        <w:gridCol w:w="646"/>
        <w:gridCol w:w="154"/>
      </w:tblGrid>
      <w:tr>
        <w:trPr/>
        <w:tc>
          <w:tcPr>
            <w:tcW w:w="66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4"/>
              </w:rPr>
            </w:pPr>
            <w:r>
              <w:rPr>
                <w:rFonts w:ascii="Times New Roman;serif" w:hAnsi="Times New Roman;serif"/>
                <w:b/>
                <w:color w:val="231F20"/>
                <w:sz w:val="14"/>
              </w:rPr>
              <w:t>Old Xanadu Convertible Preferred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4"/>
              </w:rPr>
            </w:pPr>
            <w:r>
              <w:rPr>
                <w:rFonts w:ascii="Times New Roman;serif" w:hAnsi="Times New Roman;serif"/>
                <w:b/>
                <w:color w:val="231F20"/>
                <w:sz w:val="14"/>
              </w:rPr>
              <w:t>Old Xanadu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4"/>
              </w:rPr>
            </w:pPr>
            <w:r>
              <w:rPr>
                <w:rFonts w:ascii="Times New Roman;serif" w:hAnsi="Times New Roman;serif"/>
                <w:b/>
                <w:color w:val="231F20"/>
                <w:sz w:val="14"/>
              </w:rPr>
              <w:t xml:space="preserve">Common Shares (Class A &amp; B) </w:t>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4"/>
              </w:rPr>
            </w:pPr>
            <w:r>
              <w:rPr>
                <w:rFonts w:ascii="Times New Roman;serif" w:hAnsi="Times New Roman;serif"/>
                <w:b/>
                <w:color w:val="231F20"/>
                <w:sz w:val="14"/>
              </w:rPr>
              <w:t xml:space="preserve">Total </w:t>
              <w:br/>
              <w:t xml:space="preserve">share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4"/>
              </w:rPr>
            </w:pPr>
            <w:r>
              <w:rPr>
                <w:rFonts w:ascii="Times New Roman;serif" w:hAnsi="Times New Roman;serif"/>
                <w:b/>
                <w:color w:val="231F20"/>
                <w:sz w:val="14"/>
              </w:rPr>
              <w:t xml:space="preserve">Additional </w:t>
              <w:b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4"/>
              </w:rPr>
            </w:pPr>
            <w:r>
              <w:rPr>
                <w:rFonts w:ascii="Times New Roman;serif" w:hAnsi="Times New Roman;serif"/>
                <w:b/>
                <w:color w:val="231F20"/>
                <w:sz w:val="14"/>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4"/>
              </w:rPr>
            </w:pPr>
            <w:r>
              <w:rPr>
                <w:rFonts w:ascii="Times New Roman;serif" w:hAnsi="Times New Roman;serif"/>
                <w:b/>
                <w:color w:val="231F20"/>
                <w:sz w:val="14"/>
              </w:rPr>
              <w:t xml:space="preserve">Accumulated </w:t>
              <w:br/>
              <w:t xml:space="preserve">other </w:t>
              <w:br/>
              <w:t xml:space="preserve">comprehensive </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4"/>
              </w:rPr>
            </w:pPr>
            <w:r>
              <w:rPr>
                <w:rFonts w:ascii="Times New Roman;serif" w:hAnsi="Times New Roman;serif"/>
                <w:b/>
                <w:color w:val="231F20"/>
                <w:sz w:val="14"/>
              </w:rPr>
              <w:t>Total</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4"/>
              </w:rPr>
            </w:pPr>
            <w:r>
              <w:rPr>
                <w:rFonts w:ascii="Times New Roman;serif" w:hAnsi="Times New Roman;serif"/>
                <w:b/>
                <w:color w:val="231F20"/>
                <w:sz w:val="14"/>
              </w:rPr>
              <w:t>Number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4"/>
              </w:rPr>
            </w:pPr>
            <w:r>
              <w:rPr>
                <w:rFonts w:ascii="Times New Roman;serif" w:hAnsi="Times New Roman;serif"/>
                <w:b/>
                <w:color w:val="231F2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4"/>
              </w:rPr>
            </w:pPr>
            <w:r>
              <w:rPr>
                <w:rFonts w:ascii="Times New Roman;serif" w:hAnsi="Times New Roman;serif"/>
                <w:b/>
                <w:color w:val="231F20"/>
                <w:sz w:val="14"/>
              </w:rPr>
              <w:t>Number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4"/>
              </w:rPr>
            </w:pPr>
            <w:r>
              <w:rPr>
                <w:rFonts w:ascii="Times New Roman;serif" w:hAnsi="Times New Roman;serif"/>
                <w:b/>
                <w:color w:val="231F2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4"/>
              </w:rPr>
            </w:pPr>
            <w:r>
              <w:rPr>
                <w:rFonts w:ascii="Times New Roman;serif" w:hAnsi="Times New Roman;serif"/>
                <w:b/>
                <w:color w:val="231F20"/>
                <w:sz w:val="14"/>
              </w:rPr>
              <w:t>Number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4"/>
              </w:rPr>
            </w:pPr>
            <w:r>
              <w:rPr>
                <w:rFonts w:ascii="Times New Roman;serif" w:hAnsi="Times New Roman;serif"/>
                <w:b/>
                <w:color w:val="231F20"/>
                <w:sz w:val="14"/>
              </w:rPr>
              <w:t>Amount</w:t>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6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4"/>
              </w:rPr>
            </w:pPr>
            <w:r>
              <w:rPr>
                <w:rFonts w:ascii="Times New Roman;serif" w:hAnsi="Times New Roman;serif"/>
                <w:b/>
                <w:color w:val="231F20"/>
                <w:sz w:val="14"/>
              </w:rPr>
              <w:t>Balance, December 31, 2025</w:t>
            </w:r>
          </w:p>
        </w:tc>
        <w:tc>
          <w:tcPr>
            <w:tcW w:w="886" w:type="dxa"/>
            <w:gridSpan w:val="3"/>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17,718,491</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4"/>
              </w:rPr>
            </w:pPr>
            <w:r>
              <w:rPr>
                <w:rFonts w:ascii="Times New Roman;serif" w:hAnsi="Times New Roman;serif"/>
                <w:b w:val="false"/>
                <w:color w:val="231F20"/>
                <w:sz w:val="14"/>
              </w:rPr>
              <w:t>$</w:t>
            </w:r>
          </w:p>
        </w:tc>
        <w:tc>
          <w:tcPr>
            <w:tcW w:w="616"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213,002 </w:t>
            </w:r>
          </w:p>
        </w:tc>
        <w:tc>
          <w:tcPr>
            <w:tcW w:w="109"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4,959,800</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4"/>
              </w:rPr>
            </w:pPr>
            <w:r>
              <w:rPr>
                <w:rFonts w:ascii="Times New Roman;serif" w:hAnsi="Times New Roman;serif"/>
                <w:b w:val="false"/>
                <w:color w:val="231F20"/>
                <w:sz w:val="14"/>
              </w:rPr>
              <w:t>$</w:t>
            </w:r>
          </w:p>
        </w:tc>
        <w:tc>
          <w:tcPr>
            <w:tcW w:w="466"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7,585 </w:t>
            </w:r>
          </w:p>
        </w:tc>
        <w:tc>
          <w:tcPr>
            <w:tcW w:w="109"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4"/>
              </w:rPr>
            </w:pPr>
            <w:r>
              <w:rPr>
                <w:rFonts w:ascii="Times New Roman;serif" w:hAnsi="Times New Roman;serif"/>
                <w:b w:val="false"/>
                <w:color w:val="231F20"/>
                <w:sz w:val="14"/>
              </w:rPr>
              <w:t>$</w:t>
            </w:r>
          </w:p>
        </w:tc>
        <w:tc>
          <w:tcPr>
            <w:tcW w:w="646"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4"/>
              </w:rPr>
            </w:pPr>
            <w:r>
              <w:rPr>
                <w:rFonts w:ascii="Times New Roman;serif" w:hAnsi="Times New Roman;serif"/>
                <w:b w:val="false"/>
                <w:color w:val="231F20"/>
                <w:sz w:val="14"/>
              </w:rPr>
              <w:t>$</w:t>
            </w:r>
          </w:p>
        </w:tc>
        <w:tc>
          <w:tcPr>
            <w:tcW w:w="646"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220,587 </w:t>
            </w:r>
          </w:p>
        </w:tc>
        <w:tc>
          <w:tcPr>
            <w:tcW w:w="109"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4"/>
              </w:rPr>
            </w:pPr>
            <w:r>
              <w:rPr>
                <w:rFonts w:ascii="Times New Roman;serif" w:hAnsi="Times New Roman;serif"/>
                <w:b w:val="false"/>
                <w:color w:val="231F20"/>
                <w:sz w:val="14"/>
              </w:rPr>
              <w:t>$</w:t>
            </w:r>
          </w:p>
        </w:tc>
        <w:tc>
          <w:tcPr>
            <w:tcW w:w="57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10,151 </w:t>
            </w:r>
          </w:p>
        </w:tc>
        <w:tc>
          <w:tcPr>
            <w:tcW w:w="109"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4"/>
              </w:rPr>
            </w:pPr>
            <w:r>
              <w:rPr>
                <w:rFonts w:ascii="Times New Roman;serif" w:hAnsi="Times New Roman;serif"/>
                <w:b w:val="false"/>
                <w:color w:val="231F20"/>
                <w:sz w:val="14"/>
              </w:rPr>
              <w:t>$</w:t>
            </w:r>
          </w:p>
        </w:tc>
        <w:tc>
          <w:tcPr>
            <w:tcW w:w="63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(206,303)</w:t>
            </w:r>
          </w:p>
        </w:tc>
        <w:tc>
          <w:tcPr>
            <w:tcW w:w="109"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4"/>
              </w:rPr>
            </w:pPr>
            <w:r>
              <w:rPr>
                <w:rFonts w:ascii="Times New Roman;serif" w:hAnsi="Times New Roman;serif"/>
                <w:b w:val="false"/>
                <w:color w:val="231F20"/>
                <w:sz w:val="14"/>
              </w:rPr>
              <w:t>$</w:t>
            </w:r>
          </w:p>
        </w:tc>
        <w:tc>
          <w:tcPr>
            <w:tcW w:w="568"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9 </w:t>
            </w:r>
          </w:p>
        </w:tc>
        <w:tc>
          <w:tcPr>
            <w:tcW w:w="160"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4"/>
              </w:rPr>
            </w:pPr>
            <w:r>
              <w:rPr>
                <w:rFonts w:ascii="Times New Roman;serif" w:hAnsi="Times New Roman;serif"/>
                <w:b w:val="false"/>
                <w:color w:val="231F20"/>
                <w:sz w:val="14"/>
              </w:rPr>
              <w:t>$</w:t>
            </w:r>
          </w:p>
        </w:tc>
        <w:tc>
          <w:tcPr>
            <w:tcW w:w="646"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24,444 </w:t>
            </w:r>
          </w:p>
        </w:tc>
        <w:tc>
          <w:tcPr>
            <w:tcW w:w="154"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Retroactive application of recapitalization</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182,211,578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51,005,076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D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4"/>
              </w:rPr>
              <w:t xml:space="preserve">Balance as of December 31, 2025 as adjusted </w:t>
            </w:r>
            <w:r>
              <w:rPr>
                <w:rFonts w:ascii="Times New Roman;serif" w:hAnsi="Times New Roman;serif"/>
                <w:b w:val="false"/>
                <w:color w:val="000000"/>
                <w:sz w:val="9"/>
              </w:rPr>
              <w:t>(1)</w:t>
            </w:r>
          </w:p>
        </w:tc>
        <w:tc>
          <w:tcPr>
            <w:tcW w:w="886"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199,930,069</w:t>
            </w:r>
          </w:p>
        </w:tc>
        <w:tc>
          <w:tcPr>
            <w:tcW w:w="32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213,002</w:t>
            </w:r>
          </w:p>
        </w:tc>
        <w:tc>
          <w:tcPr>
            <w:tcW w:w="32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ind w:left="0" w:right="0" w:hanging="720"/>
              <w:jc w:val="left"/>
              <w:rPr>
                <w:sz w:val="4"/>
                <w:szCs w:val="4"/>
              </w:rPr>
            </w:pPr>
            <w:r>
              <w:rPr>
                <w:sz w:val="4"/>
                <w:szCs w:val="4"/>
              </w:rPr>
            </w:r>
          </w:p>
        </w:tc>
        <w:tc>
          <w:tcPr>
            <w:tcW w:w="811"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55,964,876</w:t>
            </w:r>
          </w:p>
        </w:tc>
        <w:tc>
          <w:tcPr>
            <w:tcW w:w="32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7,585</w:t>
            </w:r>
          </w:p>
        </w:tc>
        <w:tc>
          <w:tcPr>
            <w:tcW w:w="32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82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220,587 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10,151</w:t>
            </w:r>
          </w:p>
        </w:tc>
        <w:tc>
          <w:tcPr>
            <w:tcW w:w="32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(206,303)</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9</w:t>
            </w:r>
          </w:p>
        </w:tc>
        <w:tc>
          <w:tcPr>
            <w:tcW w:w="32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24,444 </w:t>
            </w:r>
          </w:p>
        </w:tc>
        <w:tc>
          <w:tcPr>
            <w:tcW w:w="15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231F20"/>
                <w:sz w:val="14"/>
              </w:rPr>
              <w:t xml:space="preserve">Issuance of common shares upon exchange of Old Xanadu's preferred and common shares </w:t>
            </w:r>
            <w:r>
              <w:rPr>
                <w:rFonts w:ascii="Times New Roman;serif" w:hAnsi="Times New Roman;serif"/>
                <w:b w:val="false"/>
                <w:color w:val="231F20"/>
                <w:sz w:val="9"/>
              </w:rPr>
              <w:t>(2)</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(199,930,069)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(213,002)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(55,964,876)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(7,585)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255,894,945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220,587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4"/>
              </w:rPr>
            </w:pPr>
            <w:r>
              <w:rPr>
                <w:rFonts w:ascii="Times New Roman;serif" w:hAnsi="Times New Roman;serif"/>
                <w:b w:val="false"/>
                <w:color w:val="231F20"/>
                <w:sz w:val="14"/>
              </w:rPr>
              <w:t>Loss for the period</w:t>
            </w:r>
          </w:p>
        </w:tc>
        <w:tc>
          <w:tcPr>
            <w:tcW w:w="88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(62,655)</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6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(62,655)</w:t>
            </w:r>
          </w:p>
        </w:tc>
        <w:tc>
          <w:tcPr>
            <w:tcW w:w="154"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4"/>
              </w:rPr>
            </w:pPr>
            <w:r>
              <w:rPr>
                <w:rFonts w:ascii="Times New Roman;serif" w:hAnsi="Times New Roman;serif"/>
                <w:b w:val="false"/>
                <w:color w:val="231F20"/>
                <w:sz w:val="14"/>
              </w:rPr>
              <w:t>Stock-based compensation</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6,197 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6,197 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4"/>
              </w:rPr>
            </w:pPr>
            <w:r>
              <w:rPr>
                <w:rFonts w:ascii="Times New Roman;serif" w:hAnsi="Times New Roman;serif"/>
                <w:b w:val="false"/>
                <w:color w:val="231F20"/>
                <w:sz w:val="14"/>
              </w:rPr>
              <w:t>Exercise of stock options, net of tax</w:t>
            </w:r>
          </w:p>
        </w:tc>
        <w:tc>
          <w:tcPr>
            <w:tcW w:w="88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1,935,116</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1,153 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1,153 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(703)</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6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450 </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231F20"/>
                <w:sz w:val="14"/>
              </w:rPr>
            </w:pPr>
            <w:r>
              <w:rPr>
                <w:rFonts w:ascii="Times New Roman;serif" w:hAnsi="Times New Roman;serif"/>
                <w:b w:val="false"/>
                <w:color w:val="231F20"/>
                <w:sz w:val="14"/>
              </w:rPr>
              <w:t>Reverse Recapitalization and PIPE transaction,</w:t>
            </w:r>
          </w:p>
          <w:p>
            <w:pPr>
              <w:pStyle w:val="TableContents"/>
              <w:bidi w:val="0"/>
              <w:spacing w:lineRule="auto" w:line="240" w:before="0" w:after="0"/>
              <w:ind w:left="0" w:right="0" w:hanging="180"/>
              <w:jc w:val="left"/>
              <w:rPr/>
            </w:pPr>
            <w:r>
              <w:rPr>
                <w:rFonts w:ascii="Times New Roman;serif" w:hAnsi="Times New Roman;serif"/>
                <w:b w:val="false"/>
                <w:color w:val="231F20"/>
                <w:sz w:val="14"/>
              </w:rPr>
              <w:t>net of transaction costs</w:t>
            </w:r>
            <w:r>
              <w:rPr>
                <w:color w:val="231F20"/>
              </w:rPr>
              <w:t xml:space="preserve"> </w:t>
            </w:r>
            <w:r>
              <w:rPr>
                <w:rFonts w:ascii="Times New Roman;serif" w:hAnsi="Times New Roman;serif"/>
                <w:b w:val="false"/>
                <w:color w:val="231F20"/>
                <w:sz w:val="9"/>
              </w:rPr>
              <w:t>(3)</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40,308,912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265,006 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265,006 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(1,407)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263,599 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shd w:fill="CCED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Earn-out share liability at Closing</w:t>
            </w:r>
          </w:p>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of Reverse Recapitalization</w:t>
            </w:r>
          </w:p>
        </w:tc>
        <w:tc>
          <w:tcPr>
            <w:tcW w:w="88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(9,997)</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(9,997)</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6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(9,997)</w:t>
            </w:r>
          </w:p>
        </w:tc>
        <w:tc>
          <w:tcPr>
            <w:tcW w:w="154"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4"/>
              </w:rPr>
            </w:pPr>
            <w:r>
              <w:rPr>
                <w:rFonts w:ascii="Times New Roman;serif" w:hAnsi="Times New Roman;serif"/>
                <w:b w:val="false"/>
                <w:color w:val="231F20"/>
                <w:sz w:val="14"/>
              </w:rPr>
              <w:t>Conversion of earn-out liabilities to equity</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17,761 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17,761 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17,761 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4"/>
              </w:rPr>
            </w:pPr>
            <w:r>
              <w:rPr>
                <w:rFonts w:ascii="Times New Roman;serif" w:hAnsi="Times New Roman;serif"/>
                <w:b w:val="false"/>
                <w:color w:val="231F20"/>
                <w:sz w:val="14"/>
              </w:rPr>
              <w:t>Issuance of common shares in connection with synthetic at-the-market facility</w:t>
            </w:r>
          </w:p>
        </w:tc>
        <w:tc>
          <w:tcPr>
            <w:tcW w:w="88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5,467,524</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68,815 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68,815 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6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68,815 </w:t>
            </w:r>
          </w:p>
        </w:tc>
        <w:tc>
          <w:tcPr>
            <w:tcW w:w="154"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4"/>
              </w:rPr>
            </w:pPr>
            <w:r>
              <w:rPr>
                <w:rFonts w:ascii="Times New Roman;serif" w:hAnsi="Times New Roman;serif"/>
                <w:b w:val="false"/>
                <w:color w:val="231F20"/>
                <w:sz w:val="14"/>
              </w:rPr>
              <w:t>Issuance of common shares for advisor fees related to the Reverse Recapitalization</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100,000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1,445 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1,445 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1,445 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4"/>
              </w:rPr>
            </w:pPr>
            <w:r>
              <w:rPr>
                <w:rFonts w:ascii="Times New Roman;serif" w:hAnsi="Times New Roman;serif"/>
                <w:b w:val="false"/>
                <w:color w:val="231F20"/>
                <w:sz w:val="14"/>
              </w:rPr>
              <w:t>Conversion of warrant liabilities to equity</w:t>
            </w:r>
          </w:p>
        </w:tc>
        <w:tc>
          <w:tcPr>
            <w:tcW w:w="88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2,769 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6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2,769 </w:t>
            </w:r>
          </w:p>
        </w:tc>
        <w:tc>
          <w:tcPr>
            <w:tcW w:w="154"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4"/>
              </w:rPr>
            </w:pPr>
            <w:r>
              <w:rPr>
                <w:rFonts w:ascii="Times New Roman;serif" w:hAnsi="Times New Roman;serif"/>
                <w:b w:val="false"/>
                <w:color w:val="231F20"/>
                <w:sz w:val="14"/>
              </w:rPr>
              <w:t>Exercise of warrants</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517,527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1,397 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1,397 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(1,397)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4"/>
              </w:rPr>
            </w:pPr>
            <w:r>
              <w:rPr>
                <w:rFonts w:ascii="Times New Roman;serif" w:hAnsi="Times New Roman;serif"/>
                <w:b w:val="false"/>
                <w:color w:val="231F20"/>
                <w:sz w:val="14"/>
              </w:rPr>
              <w:t>Cumulative translation adjustment, net of tax</w:t>
            </w:r>
          </w:p>
        </w:tc>
        <w:tc>
          <w:tcPr>
            <w:tcW w:w="88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10 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237 </w:t>
            </w:r>
          </w:p>
        </w:tc>
        <w:tc>
          <w:tcPr>
            <w:tcW w:w="16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247 </w:t>
            </w:r>
          </w:p>
        </w:tc>
        <w:tc>
          <w:tcPr>
            <w:tcW w:w="154"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4"/>
              </w:rPr>
            </w:pPr>
            <w:r>
              <w:rPr>
                <w:rFonts w:ascii="Times New Roman;serif" w:hAnsi="Times New Roman;serif"/>
                <w:b/>
                <w:color w:val="231F20"/>
                <w:sz w:val="14"/>
              </w:rPr>
              <w:t>Balance, June 30, 2026</w:t>
            </w:r>
          </w:p>
        </w:tc>
        <w:tc>
          <w:tcPr>
            <w:tcW w:w="584"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231F20"/>
              </w:rPr>
            </w:pPr>
            <w:r>
              <w:rPr>
                <w:color w:val="231F20"/>
              </w:rPr>
              <w:t>— </w:t>
            </w:r>
          </w:p>
        </w:tc>
        <w:tc>
          <w:tcPr>
            <w:tcW w:w="30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14"/>
              </w:rPr>
            </w:pPr>
            <w:r>
              <w:rPr>
                <w:rFonts w:ascii="Times New Roman;serif" w:hAnsi="Times New Roman;serif"/>
                <w:b/>
                <w:color w:val="231F20"/>
                <w:sz w:val="14"/>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231F20"/>
              </w:rPr>
            </w:pPr>
            <w:r>
              <w:rPr>
                <w:color w:val="231F20"/>
              </w:rPr>
              <w:t>— </w:t>
            </w:r>
          </w:p>
        </w:tc>
        <w:tc>
          <w:tcPr>
            <w:tcW w:w="27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14"/>
              </w:rPr>
            </w:pPr>
            <w:r>
              <w:rPr>
                <w:rFonts w:ascii="Times New Roman;serif" w:hAnsi="Times New Roman;serif"/>
                <w:b/>
                <w:color w:val="231F20"/>
                <w:sz w:val="14"/>
              </w:rPr>
              <w:t>$</w:t>
            </w:r>
          </w:p>
        </w:tc>
        <w:tc>
          <w:tcPr>
            <w:tcW w:w="4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14"/>
              </w:rPr>
              <w:t>304,224,024</w:t>
            </w:r>
            <w:r>
              <w:rPr>
                <w:color w:val="231F20"/>
              </w:rPr>
              <w:t> </w:t>
            </w:r>
          </w:p>
        </w:tc>
        <w:tc>
          <w:tcPr>
            <w:tcW w:w="28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14"/>
              </w:rPr>
            </w:pPr>
            <w:r>
              <w:rPr>
                <w:rFonts w:ascii="Times New Roman;serif" w:hAnsi="Times New Roman;serif"/>
                <w:b/>
                <w:color w:val="231F20"/>
                <w:sz w:val="14"/>
              </w:rPr>
              <w:t>$</w:t>
            </w:r>
          </w:p>
        </w:tc>
        <w:tc>
          <w:tcPr>
            <w:tcW w:w="6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14"/>
              </w:rPr>
              <w:t>566,167</w:t>
            </w:r>
            <w:r>
              <w:rPr>
                <w:color w:val="231F2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14"/>
              </w:rPr>
            </w:pPr>
            <w:r>
              <w:rPr>
                <w:rFonts w:ascii="Times New Roman;serif" w:hAnsi="Times New Roman;serif"/>
                <w:b/>
                <w:color w:val="231F20"/>
                <w:sz w:val="14"/>
              </w:rPr>
              <w:t>$</w:t>
            </w:r>
          </w:p>
        </w:tc>
        <w:tc>
          <w:tcPr>
            <w:tcW w:w="6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14"/>
              </w:rPr>
              <w:t>566,167</w:t>
            </w:r>
            <w:r>
              <w:rPr>
                <w:color w:val="231F2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14"/>
              </w:rPr>
            </w:pPr>
            <w:r>
              <w:rPr>
                <w:rFonts w:ascii="Times New Roman;serif" w:hAnsi="Times New Roman;serif"/>
                <w:b/>
                <w:color w:val="231F20"/>
                <w:sz w:val="14"/>
              </w:rPr>
              <w:t>$</w:t>
            </w:r>
          </w:p>
        </w:tc>
        <w:tc>
          <w:tcPr>
            <w:tcW w:w="57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14"/>
              </w:rPr>
              <w:t>17,027</w:t>
            </w:r>
            <w:r>
              <w:rPr>
                <w:color w:val="231F2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14"/>
              </w:rPr>
            </w:pPr>
            <w:r>
              <w:rPr>
                <w:rFonts w:ascii="Times New Roman;serif" w:hAnsi="Times New Roman;serif"/>
                <w:b/>
                <w:color w:val="231F20"/>
                <w:sz w:val="14"/>
              </w:rPr>
              <w:t>$</w:t>
            </w:r>
          </w:p>
        </w:tc>
        <w:tc>
          <w:tcPr>
            <w:tcW w:w="63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231F20"/>
                <w:sz w:val="14"/>
              </w:rPr>
            </w:pPr>
            <w:r>
              <w:rPr>
                <w:rFonts w:ascii="Times New Roman;serif" w:hAnsi="Times New Roman;serif"/>
                <w:b/>
                <w:color w:val="231F20"/>
                <w:sz w:val="14"/>
              </w:rPr>
              <w:t>(270,365)</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14"/>
              </w:rPr>
            </w:pPr>
            <w:r>
              <w:rPr>
                <w:rFonts w:ascii="Times New Roman;serif" w:hAnsi="Times New Roman;serif"/>
                <w:b/>
                <w:color w:val="231F20"/>
                <w:sz w:val="14"/>
              </w:rPr>
              <w:t>$</w:t>
            </w:r>
          </w:p>
        </w:tc>
        <w:tc>
          <w:tcPr>
            <w:tcW w:w="56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14"/>
              </w:rPr>
              <w:t>246</w:t>
            </w:r>
            <w:r>
              <w:rPr>
                <w:color w:val="231F20"/>
              </w:rPr>
              <w:t> </w:t>
            </w:r>
          </w:p>
        </w:tc>
        <w:tc>
          <w:tcPr>
            <w:tcW w:w="16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14"/>
              </w:rPr>
            </w:pPr>
            <w:r>
              <w:rPr>
                <w:rFonts w:ascii="Times New Roman;serif" w:hAnsi="Times New Roman;serif"/>
                <w:b/>
                <w:color w:val="231F20"/>
                <w:sz w:val="14"/>
              </w:rPr>
              <w:t>$</w:t>
            </w:r>
          </w:p>
        </w:tc>
        <w:tc>
          <w:tcPr>
            <w:tcW w:w="6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14"/>
              </w:rPr>
              <w:t>313,075</w:t>
            </w:r>
            <w:r>
              <w:rPr>
                <w:color w:val="231F20"/>
              </w:rPr>
              <w:t>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70" w:after="283"/>
        <w:ind w:left="0" w:right="0" w:hanging="48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The number of shares have been retroactively recast after giving effect to the Reverse Recapitalization.</w:t>
      </w:r>
    </w:p>
    <w:p>
      <w:pPr>
        <w:pStyle w:val="TextBody"/>
        <w:bidi w:val="0"/>
        <w:spacing w:lineRule="auto" w:line="240" w:before="170" w:after="283"/>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 xml:space="preserve">Refer to Note 3 for additional information on the preferred and common share exchange. </w:t>
      </w:r>
    </w:p>
    <w:p>
      <w:pPr>
        <w:pStyle w:val="TextBody"/>
        <w:bidi w:val="0"/>
        <w:spacing w:lineRule="auto" w:line="288" w:before="120" w:after="240"/>
        <w:jc w:val="left"/>
        <w:rPr/>
      </w:pPr>
      <w:r>
        <w:rPr>
          <w:rFonts w:ascii="Times New Roman;serif" w:hAnsi="Times New Roman;serif"/>
          <w:b w:val="false"/>
          <w:color w:val="000000"/>
          <w:sz w:val="10"/>
        </w:rPr>
        <w:t xml:space="preserve">(3) </w:t>
      </w:r>
      <w:r>
        <w:rPr>
          <w:rFonts w:ascii="Times New Roman;serif" w:hAnsi="Times New Roman;serif"/>
          <w:b w:val="false"/>
          <w:color w:val="000000"/>
          <w:sz w:val="16"/>
        </w:rPr>
        <w:t xml:space="preserve">Common shares include 1,100,000 earn-out shares (the "Earn-out Shares") issued and outstanding at closing of the Reverse Recapitalization, but were subject to forfeiture. At closing, these Earn-Out Shares were classified within liabilities on the consolidated balance sheets and subsequently reclassified to equity in the second quarter of 2026 when the Earn-Out Shares vested. Refer to Note 3 for additional information. </w:t>
      </w:r>
    </w:p>
    <w:p>
      <w:pPr>
        <w:pStyle w:val="TextBody"/>
        <w:bidi w:val="0"/>
        <w:spacing w:lineRule="auto" w:line="288" w:before="120" w:after="160"/>
        <w:jc w:val="center"/>
        <w:rPr/>
      </w:pPr>
      <w:r>
        <w:rPr>
          <w:rFonts w:ascii="Times New Roman;serif" w:hAnsi="Times New Roman;serif"/>
          <w:b w:val="false"/>
          <w:color w:val="231F20"/>
          <w:sz w:val="16"/>
        </w:rPr>
        <w:t>See</w:t>
      </w:r>
      <w:r>
        <w:rPr>
          <w:color w:val="231F20"/>
        </w:rPr>
        <w:t xml:space="preserve"> </w:t>
      </w:r>
      <w:r>
        <w:rPr>
          <w:rFonts w:ascii="Times New Roman;serif" w:hAnsi="Times New Roman;serif"/>
          <w:b w:val="false"/>
          <w:color w:val="231F20"/>
          <w:sz w:val="16"/>
        </w:rPr>
        <w:t>accompanying</w:t>
      </w:r>
      <w:r>
        <w:rPr>
          <w:color w:val="231F20"/>
        </w:rPr>
        <w:t xml:space="preserve"> </w:t>
      </w:r>
      <w:r>
        <w:rPr>
          <w:rFonts w:ascii="Times New Roman;serif" w:hAnsi="Times New Roman;serif"/>
          <w:b w:val="false"/>
          <w:color w:val="231F20"/>
          <w:sz w:val="16"/>
        </w:rPr>
        <w:t>notes</w:t>
      </w:r>
      <w:r>
        <w:rPr>
          <w:color w:val="231F20"/>
        </w:rPr>
        <w:t xml:space="preserve"> </w:t>
      </w:r>
      <w:r>
        <w:rPr>
          <w:rFonts w:ascii="Times New Roman;serif" w:hAnsi="Times New Roman;serif"/>
          <w:b w:val="false"/>
          <w:color w:val="231F20"/>
          <w:sz w:val="16"/>
        </w:rPr>
        <w:t>to condensed</w:t>
      </w:r>
      <w:r>
        <w:rPr>
          <w:color w:val="231F20"/>
        </w:rPr>
        <w:t xml:space="preserve"> </w:t>
      </w:r>
      <w:r>
        <w:rPr>
          <w:rFonts w:ascii="Times New Roman;serif" w:hAnsi="Times New Roman;serif"/>
          <w:b w:val="false"/>
          <w:color w:val="231F20"/>
          <w:sz w:val="16"/>
        </w:rPr>
        <w:t>consolidated</w:t>
      </w:r>
      <w:r>
        <w:rPr>
          <w:color w:val="231F20"/>
        </w:rPr>
        <w:t xml:space="preserve"> </w:t>
      </w:r>
      <w:r>
        <w:rPr>
          <w:rFonts w:ascii="Times New Roman;serif" w:hAnsi="Times New Roman;serif"/>
          <w:b w:val="false"/>
          <w:color w:val="231F20"/>
          <w:sz w:val="16"/>
        </w:rPr>
        <w:t>financial</w:t>
      </w:r>
      <w:r>
        <w:rPr>
          <w:color w:val="231F20"/>
        </w:rPr>
        <w:t xml:space="preserve"> </w:t>
      </w:r>
      <w:r>
        <w:rPr>
          <w:rFonts w:ascii="Times New Roman;serif" w:hAnsi="Times New Roman;serif"/>
          <w:b w:val="false"/>
          <w:color w:val="231F20"/>
          <w:sz w:val="16"/>
        </w:rPr>
        <w:t>statements.</w:t>
      </w:r>
    </w:p>
    <w:p>
      <w:pPr>
        <w:pStyle w:val="TextBody"/>
        <w:bidi w:val="0"/>
        <w:spacing w:before="120" w:after="160"/>
        <w:jc w:val="center"/>
        <w:rPr/>
      </w:pPr>
      <w:r>
        <w:rPr/>
      </w:r>
    </w:p>
    <w:p>
      <w:pPr>
        <w:pStyle w:val="TextBody"/>
        <w:bidi w:val="0"/>
        <w:spacing w:before="120" w:after="160"/>
        <w:jc w:val="center"/>
        <w:rPr/>
      </w:pPr>
      <w:r>
        <w:rPr/>
      </w:r>
    </w:p>
    <w:p>
      <w:pPr>
        <w:pStyle w:val="TextBody"/>
        <w:bidi w:val="0"/>
        <w:spacing w:before="120" w:after="160"/>
        <w:jc w:val="center"/>
        <w:rPr/>
      </w:pPr>
      <w:r>
        <w:rPr/>
      </w:r>
    </w:p>
    <w:p>
      <w:pPr>
        <w:pStyle w:val="TextBody"/>
        <w:bidi w:val="0"/>
        <w:spacing w:before="120" w:after="160"/>
        <w:jc w:val="center"/>
        <w:rPr/>
      </w:pPr>
      <w:r>
        <w:rPr/>
      </w:r>
    </w:p>
    <w:p>
      <w:pPr>
        <w:pStyle w:val="TextBody"/>
        <w:bidi w:val="0"/>
        <w:spacing w:before="120" w:after="1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6840"/>
                <wp:effectExtent l="0" t="0" r="0" b="0"/>
                <wp:wrapNone/>
                <wp:docPr id="22" name="Frame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11</w:t>
                      </w:r>
                    </w:p>
                  </w:txbxContent>
                </v:textbox>
                <w10:wrap type="none"/>
              </v:rect>
            </w:pict>
          </mc:Fallback>
        </mc:AlternateContent>
      </w:r>
    </w:p>
    <w:p>
      <w:pPr>
        <w:pStyle w:val="TextBody"/>
        <w:bidi w:val="0"/>
        <w:spacing w:lineRule="auto" w:line="288" w:before="11" w:after="283"/>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XANADU QUANTUM TECHNOLOGIES LIMITED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Shareholders’ Equity (Unaudited) (continued)</w:t>
      </w:r>
    </w:p>
    <w:p>
      <w:pPr>
        <w:pStyle w:val="TextBody"/>
        <w:bidi w:val="0"/>
        <w:spacing w:lineRule="auto" w:line="288" w:before="0" w:after="200"/>
        <w:jc w:val="center"/>
        <w:rPr>
          <w:rFonts w:ascii="Times New Roman;serif" w:hAnsi="Times New Roman;serif"/>
          <w:b/>
          <w:color w:val="231F20"/>
          <w:sz w:val="20"/>
        </w:rPr>
      </w:pPr>
      <w:r>
        <w:rPr>
          <w:rFonts w:ascii="Times New Roman;serif" w:hAnsi="Times New Roman;serif"/>
          <w:b/>
          <w:color w:val="231F20"/>
          <w:sz w:val="20"/>
        </w:rPr>
        <w:t>(In thousands, except for share and per share amounts)</w:t>
      </w:r>
    </w:p>
    <w:tbl>
      <w:tblPr>
        <w:tblW w:w="12705" w:type="dxa"/>
        <w:jc w:val="center"/>
        <w:tblInd w:w="0" w:type="dxa"/>
        <w:tblLayout w:type="fixed"/>
        <w:tblCellMar>
          <w:top w:w="28" w:type="dxa"/>
          <w:left w:w="28" w:type="dxa"/>
          <w:bottom w:w="28" w:type="dxa"/>
          <w:right w:w="28" w:type="dxa"/>
        </w:tblCellMar>
      </w:tblPr>
      <w:tblGrid>
        <w:gridCol w:w="532"/>
        <w:gridCol w:w="244"/>
        <w:gridCol w:w="245"/>
        <w:gridCol w:w="435"/>
        <w:gridCol w:w="436"/>
        <w:gridCol w:w="285"/>
        <w:gridCol w:w="109"/>
        <w:gridCol w:w="109"/>
        <w:gridCol w:w="109"/>
        <w:gridCol w:w="181"/>
        <w:gridCol w:w="646"/>
        <w:gridCol w:w="109"/>
        <w:gridCol w:w="109"/>
        <w:gridCol w:w="109"/>
        <w:gridCol w:w="109"/>
        <w:gridCol w:w="398"/>
        <w:gridCol w:w="398"/>
        <w:gridCol w:w="260"/>
        <w:gridCol w:w="109"/>
        <w:gridCol w:w="109"/>
        <w:gridCol w:w="109"/>
        <w:gridCol w:w="181"/>
        <w:gridCol w:w="496"/>
        <w:gridCol w:w="109"/>
        <w:gridCol w:w="109"/>
        <w:gridCol w:w="109"/>
        <w:gridCol w:w="109"/>
        <w:gridCol w:w="109"/>
        <w:gridCol w:w="526"/>
        <w:gridCol w:w="109"/>
        <w:gridCol w:w="181"/>
        <w:gridCol w:w="646"/>
        <w:gridCol w:w="109"/>
        <w:gridCol w:w="109"/>
        <w:gridCol w:w="109"/>
        <w:gridCol w:w="109"/>
        <w:gridCol w:w="181"/>
        <w:gridCol w:w="496"/>
        <w:gridCol w:w="109"/>
        <w:gridCol w:w="109"/>
        <w:gridCol w:w="109"/>
        <w:gridCol w:w="109"/>
        <w:gridCol w:w="194"/>
        <w:gridCol w:w="678"/>
        <w:gridCol w:w="119"/>
        <w:gridCol w:w="109"/>
        <w:gridCol w:w="109"/>
        <w:gridCol w:w="109"/>
        <w:gridCol w:w="181"/>
        <w:gridCol w:w="481"/>
        <w:gridCol w:w="109"/>
        <w:gridCol w:w="109"/>
        <w:gridCol w:w="109"/>
        <w:gridCol w:w="109"/>
        <w:gridCol w:w="181"/>
        <w:gridCol w:w="571"/>
        <w:gridCol w:w="154"/>
      </w:tblGrid>
      <w:tr>
        <w:trPr/>
        <w:tc>
          <w:tcPr>
            <w:tcW w:w="53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4"/>
              </w:rPr>
            </w:pPr>
            <w:r>
              <w:rPr>
                <w:rFonts w:ascii="Times New Roman;serif" w:hAnsi="Times New Roman;serif"/>
                <w:b/>
                <w:color w:val="231F20"/>
                <w:sz w:val="14"/>
              </w:rPr>
              <w:t>Old Xanadu Convertible Preferred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4"/>
              </w:rPr>
            </w:pPr>
            <w:r>
              <w:rPr>
                <w:rFonts w:ascii="Times New Roman;serif" w:hAnsi="Times New Roman;serif"/>
                <w:b/>
                <w:color w:val="231F20"/>
                <w:sz w:val="14"/>
              </w:rPr>
              <w:t>Old Xanadu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4"/>
              </w:rPr>
            </w:pPr>
            <w:r>
              <w:rPr>
                <w:rFonts w:ascii="Times New Roman;serif" w:hAnsi="Times New Roman;serif"/>
                <w:b/>
                <w:color w:val="231F20"/>
                <w:sz w:val="14"/>
              </w:rPr>
              <w:t xml:space="preserve">Total </w:t>
              <w:br/>
              <w:t xml:space="preserve">share </w:t>
              <w:br/>
              <w:t>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4"/>
              </w:rPr>
            </w:pPr>
            <w:r>
              <w:rPr>
                <w:rFonts w:ascii="Times New Roman;serif" w:hAnsi="Times New Roman;serif"/>
                <w:b/>
                <w:color w:val="231F20"/>
                <w:sz w:val="14"/>
              </w:rPr>
              <w:t xml:space="preserve">Additional </w:t>
              <w:b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4"/>
              </w:rPr>
            </w:pPr>
            <w:r>
              <w:rPr>
                <w:rFonts w:ascii="Times New Roman;serif" w:hAnsi="Times New Roman;serif"/>
                <w:b/>
                <w:color w:val="231F20"/>
                <w:sz w:val="14"/>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4"/>
              </w:rPr>
            </w:pPr>
            <w:r>
              <w:rPr>
                <w:rFonts w:ascii="Times New Roman;serif" w:hAnsi="Times New Roman;serif"/>
                <w:b/>
                <w:color w:val="231F20"/>
                <w:sz w:val="14"/>
              </w:rPr>
              <w:t xml:space="preserve">Accumulated </w:t>
              <w:br/>
              <w:t xml:space="preserve">other </w:t>
              <w:br/>
              <w:t xml:space="preserve">comprehensive </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4"/>
              </w:rPr>
            </w:pPr>
            <w:r>
              <w:rPr>
                <w:rFonts w:ascii="Times New Roman;serif" w:hAnsi="Times New Roman;serif"/>
                <w:b/>
                <w:color w:val="231F20"/>
                <w:sz w:val="14"/>
              </w:rPr>
              <w:t>Total</w:t>
            </w:r>
          </w:p>
        </w:tc>
        <w:tc>
          <w:tcPr>
            <w:tcW w:w="1233" w:type="dxa"/>
            <w:gridSpan w:val="6"/>
            <w:tcBorders/>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4"/>
              </w:rPr>
            </w:pPr>
            <w:r>
              <w:rPr>
                <w:rFonts w:ascii="Times New Roman;serif" w:hAnsi="Times New Roman;serif"/>
                <w:b/>
                <w:color w:val="231F20"/>
                <w:sz w:val="14"/>
              </w:rPr>
              <w:t>Number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4"/>
              </w:rPr>
            </w:pPr>
            <w:r>
              <w:rPr>
                <w:rFonts w:ascii="Times New Roman;serif" w:hAnsi="Times New Roman;serif"/>
                <w:b/>
                <w:color w:val="231F2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4"/>
              </w:rPr>
            </w:pPr>
            <w:r>
              <w:rPr>
                <w:rFonts w:ascii="Times New Roman;serif" w:hAnsi="Times New Roman;serif"/>
                <w:b/>
                <w:color w:val="231F20"/>
                <w:sz w:val="14"/>
              </w:rPr>
              <w:t>Number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4"/>
              </w:rPr>
            </w:pPr>
            <w:r>
              <w:rPr>
                <w:rFonts w:ascii="Times New Roman;serif" w:hAnsi="Times New Roman;serif"/>
                <w:b/>
                <w:color w:val="231F2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4"/>
              </w:rPr>
            </w:pPr>
            <w:r>
              <w:rPr>
                <w:rFonts w:ascii="Times New Roman;serif" w:hAnsi="Times New Roman;serif"/>
                <w:b/>
                <w:color w:val="231F20"/>
                <w:sz w:val="14"/>
              </w:rPr>
              <w:t>Balance, December 31, 2024 as previously reported</w:t>
            </w:r>
          </w:p>
        </w:tc>
        <w:tc>
          <w:tcPr>
            <w:tcW w:w="1156" w:type="dxa"/>
            <w:gridSpan w:val="3"/>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17,718,491</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4"/>
              </w:rPr>
            </w:pPr>
            <w:r>
              <w:rPr>
                <w:rFonts w:ascii="Times New Roman;serif" w:hAnsi="Times New Roman;serif"/>
                <w:b w:val="false"/>
                <w:color w:val="231F20"/>
                <w:sz w:val="14"/>
              </w:rPr>
              <w:t>$</w:t>
            </w:r>
          </w:p>
        </w:tc>
        <w:tc>
          <w:tcPr>
            <w:tcW w:w="646"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213,002 </w:t>
            </w:r>
          </w:p>
        </w:tc>
        <w:tc>
          <w:tcPr>
            <w:tcW w:w="109"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4,924,563</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4"/>
              </w:rPr>
            </w:pPr>
            <w:r>
              <w:rPr>
                <w:rFonts w:ascii="Times New Roman;serif" w:hAnsi="Times New Roman;serif"/>
                <w:b w:val="false"/>
                <w:color w:val="231F20"/>
                <w:sz w:val="14"/>
              </w:rPr>
              <w:t>$</w:t>
            </w:r>
          </w:p>
        </w:tc>
        <w:tc>
          <w:tcPr>
            <w:tcW w:w="496"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7,399 </w:t>
            </w:r>
          </w:p>
        </w:tc>
        <w:tc>
          <w:tcPr>
            <w:tcW w:w="109"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4"/>
              </w:rPr>
            </w:pPr>
            <w:r>
              <w:rPr>
                <w:rFonts w:ascii="Times New Roman;serif" w:hAnsi="Times New Roman;serif"/>
                <w:b w:val="false"/>
                <w:color w:val="231F20"/>
                <w:sz w:val="14"/>
              </w:rPr>
              <w:t>$</w:t>
            </w:r>
          </w:p>
        </w:tc>
        <w:tc>
          <w:tcPr>
            <w:tcW w:w="646"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220,401 </w:t>
            </w:r>
          </w:p>
        </w:tc>
        <w:tc>
          <w:tcPr>
            <w:tcW w:w="109"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4"/>
              </w:rPr>
            </w:pPr>
            <w:r>
              <w:rPr>
                <w:rFonts w:ascii="Times New Roman;serif" w:hAnsi="Times New Roman;serif"/>
                <w:b w:val="false"/>
                <w:color w:val="231F20"/>
                <w:sz w:val="14"/>
              </w:rPr>
              <w:t>$</w:t>
            </w:r>
          </w:p>
        </w:tc>
        <w:tc>
          <w:tcPr>
            <w:tcW w:w="496"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5,937 </w:t>
            </w:r>
          </w:p>
        </w:tc>
        <w:tc>
          <w:tcPr>
            <w:tcW w:w="109"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4"/>
              </w:rPr>
            </w:pPr>
            <w:r>
              <w:rPr>
                <w:rFonts w:ascii="Times New Roman;serif" w:hAnsi="Times New Roman;serif"/>
                <w:b w:val="false"/>
                <w:color w:val="231F20"/>
                <w:sz w:val="14"/>
              </w:rPr>
              <w:t>$</w:t>
            </w:r>
          </w:p>
        </w:tc>
        <w:tc>
          <w:tcPr>
            <w:tcW w:w="678"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(135,636)</w:t>
            </w:r>
          </w:p>
        </w:tc>
        <w:tc>
          <w:tcPr>
            <w:tcW w:w="119"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4"/>
              </w:rPr>
            </w:pPr>
            <w:r>
              <w:rPr>
                <w:rFonts w:ascii="Times New Roman;serif" w:hAnsi="Times New Roman;serif"/>
                <w:b w:val="false"/>
                <w:color w:val="231F20"/>
                <w:sz w:val="14"/>
              </w:rPr>
              <w:t>$</w:t>
            </w:r>
          </w:p>
        </w:tc>
        <w:tc>
          <w:tcPr>
            <w:tcW w:w="48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(3,207)</w:t>
            </w:r>
          </w:p>
        </w:tc>
        <w:tc>
          <w:tcPr>
            <w:tcW w:w="109"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4"/>
              </w:rPr>
            </w:pPr>
            <w:r>
              <w:rPr>
                <w:rFonts w:ascii="Times New Roman;serif" w:hAnsi="Times New Roman;serif"/>
                <w:b w:val="false"/>
                <w:color w:val="231F20"/>
                <w:sz w:val="14"/>
              </w:rPr>
              <w:t>$</w:t>
            </w:r>
          </w:p>
        </w:tc>
        <w:tc>
          <w:tcPr>
            <w:tcW w:w="57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87,495 </w:t>
            </w:r>
          </w:p>
        </w:tc>
        <w:tc>
          <w:tcPr>
            <w:tcW w:w="15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Retroactive application of recapitalization</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182,211,578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50,642,709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D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4"/>
              </w:rPr>
              <w:t xml:space="preserve">Balance as of December 31, 2024 as adjusted </w:t>
            </w:r>
            <w:r>
              <w:rPr>
                <w:rFonts w:ascii="Times New Roman;serif" w:hAnsi="Times New Roman;serif"/>
                <w:b w:val="false"/>
                <w:color w:val="000000"/>
                <w:sz w:val="9"/>
              </w:rPr>
              <w:t>(1)</w:t>
            </w:r>
          </w:p>
        </w:tc>
        <w:tc>
          <w:tcPr>
            <w:tcW w:w="871"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199,930,069 </w:t>
            </w:r>
          </w:p>
        </w:tc>
        <w:tc>
          <w:tcPr>
            <w:tcW w:w="285"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213,002 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55,567,272 </w:t>
            </w:r>
          </w:p>
        </w:tc>
        <w:tc>
          <w:tcPr>
            <w:tcW w:w="260"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7,399 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220,401 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5,937 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(135,636)</w:t>
            </w:r>
          </w:p>
        </w:tc>
        <w:tc>
          <w:tcPr>
            <w:tcW w:w="11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(3,207)</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87,495 </w:t>
            </w:r>
          </w:p>
        </w:tc>
        <w:tc>
          <w:tcPr>
            <w:tcW w:w="15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4"/>
              </w:rPr>
            </w:pPr>
            <w:r>
              <w:rPr>
                <w:rFonts w:ascii="Times New Roman;serif" w:hAnsi="Times New Roman;serif"/>
                <w:b w:val="false"/>
                <w:color w:val="231F20"/>
                <w:sz w:val="14"/>
              </w:rPr>
              <w:t>Loss for the period</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(27,345)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(27,345)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4"/>
              </w:rPr>
            </w:pPr>
            <w:r>
              <w:rPr>
                <w:rFonts w:ascii="Times New Roman;serif" w:hAnsi="Times New Roman;serif"/>
                <w:b w:val="false"/>
                <w:color w:val="231F20"/>
                <w:sz w:val="14"/>
              </w:rPr>
              <w:t>Stock-based compensation</w:t>
            </w:r>
          </w:p>
        </w:tc>
        <w:tc>
          <w:tcPr>
            <w:tcW w:w="115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1,760 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1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1,760 </w:t>
            </w:r>
          </w:p>
        </w:tc>
        <w:tc>
          <w:tcPr>
            <w:tcW w:w="154"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4"/>
              </w:rPr>
            </w:pPr>
            <w:r>
              <w:rPr>
                <w:rFonts w:ascii="Times New Roman;serif" w:hAnsi="Times New Roman;serif"/>
                <w:b w:val="false"/>
                <w:color w:val="231F20"/>
                <w:sz w:val="14"/>
              </w:rPr>
              <w:t>Exercise of stock options, net of tax</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235,976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62 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4"/>
              </w:rPr>
            </w:pPr>
            <w:r>
              <w:rPr>
                <w:rFonts w:ascii="Times New Roman;serif" w:hAnsi="Times New Roman;serif"/>
                <w:b w:val="false"/>
                <w:color w:val="231F20"/>
                <w:sz w:val="14"/>
              </w:rPr>
              <w:t>Cumulative translation adjustment, net of tax</w:t>
            </w:r>
          </w:p>
        </w:tc>
        <w:tc>
          <w:tcPr>
            <w:tcW w:w="115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5 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1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979 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984 </w:t>
            </w:r>
          </w:p>
        </w:tc>
        <w:tc>
          <w:tcPr>
            <w:tcW w:w="154"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4"/>
              </w:rPr>
            </w:pPr>
            <w:r>
              <w:rPr>
                <w:rFonts w:ascii="Times New Roman;serif" w:hAnsi="Times New Roman;serif"/>
                <w:b/>
                <w:color w:val="231F20"/>
                <w:sz w:val="14"/>
              </w:rPr>
              <w:t>Balance, June 30, 2025</w:t>
            </w:r>
          </w:p>
        </w:tc>
        <w:tc>
          <w:tcPr>
            <w:tcW w:w="1156"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231F20"/>
                <w:sz w:val="14"/>
              </w:rPr>
            </w:pPr>
            <w:r>
              <w:rPr>
                <w:rFonts w:ascii="Times New Roman;serif" w:hAnsi="Times New Roman;serif"/>
                <w:b/>
                <w:color w:val="231F20"/>
                <w:sz w:val="14"/>
              </w:rPr>
              <w:t>199,930,069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14"/>
              </w:rPr>
            </w:pPr>
            <w:r>
              <w:rPr>
                <w:rFonts w:ascii="Times New Roman;serif" w:hAnsi="Times New Roman;serif"/>
                <w:b/>
                <w:color w:val="231F20"/>
                <w:sz w:val="14"/>
              </w:rPr>
              <w:t>$</w:t>
            </w:r>
          </w:p>
        </w:tc>
        <w:tc>
          <w:tcPr>
            <w:tcW w:w="6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14"/>
              </w:rPr>
              <w:t>213,002</w:t>
            </w:r>
            <w:r>
              <w:rPr>
                <w:color w:val="231F2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231F20"/>
                <w:sz w:val="14"/>
              </w:rPr>
            </w:pPr>
            <w:r>
              <w:rPr>
                <w:rFonts w:ascii="Times New Roman;serif" w:hAnsi="Times New Roman;serif"/>
                <w:b/>
                <w:color w:val="231F20"/>
                <w:sz w:val="14"/>
              </w:rPr>
              <w:t>55,803,248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14"/>
              </w:rPr>
            </w:pPr>
            <w:r>
              <w:rPr>
                <w:rFonts w:ascii="Times New Roman;serif" w:hAnsi="Times New Roman;serif"/>
                <w:b/>
                <w:color w:val="231F20"/>
                <w:sz w:val="14"/>
              </w:rPr>
              <w:t>$</w:t>
            </w:r>
          </w:p>
        </w:tc>
        <w:tc>
          <w:tcPr>
            <w:tcW w:w="4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14"/>
              </w:rPr>
              <w:t>7,486</w:t>
            </w:r>
            <w:r>
              <w:rPr>
                <w:color w:val="231F2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14"/>
              </w:rPr>
            </w:pPr>
            <w:r>
              <w:rPr>
                <w:rFonts w:ascii="Times New Roman;serif" w:hAnsi="Times New Roman;serif"/>
                <w:b/>
                <w:color w:val="231F20"/>
                <w:sz w:val="14"/>
              </w:rPr>
              <w:t>$</w:t>
            </w:r>
          </w:p>
        </w:tc>
        <w:tc>
          <w:tcPr>
            <w:tcW w:w="6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14"/>
              </w:rPr>
              <w:t>220,488</w:t>
            </w:r>
            <w:r>
              <w:rPr>
                <w:color w:val="231F2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14"/>
              </w:rPr>
            </w:pPr>
            <w:r>
              <w:rPr>
                <w:rFonts w:ascii="Times New Roman;serif" w:hAnsi="Times New Roman;serif"/>
                <w:b/>
                <w:color w:val="231F20"/>
                <w:sz w:val="14"/>
              </w:rPr>
              <w:t>$</w:t>
            </w:r>
          </w:p>
        </w:tc>
        <w:tc>
          <w:tcPr>
            <w:tcW w:w="4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14"/>
              </w:rPr>
              <w:t>7,677</w:t>
            </w:r>
            <w:r>
              <w:rPr>
                <w:color w:val="231F2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14"/>
              </w:rPr>
            </w:pPr>
            <w:r>
              <w:rPr>
                <w:rFonts w:ascii="Times New Roman;serif" w:hAnsi="Times New Roman;serif"/>
                <w:b/>
                <w:color w:val="231F20"/>
                <w:sz w:val="14"/>
              </w:rPr>
              <w:t>$</w:t>
            </w:r>
          </w:p>
        </w:tc>
        <w:tc>
          <w:tcPr>
            <w:tcW w:w="67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231F20"/>
                <w:sz w:val="14"/>
              </w:rPr>
            </w:pPr>
            <w:r>
              <w:rPr>
                <w:rFonts w:ascii="Times New Roman;serif" w:hAnsi="Times New Roman;serif"/>
                <w:b/>
                <w:color w:val="231F20"/>
                <w:sz w:val="14"/>
              </w:rPr>
              <w:t>(162,981)</w:t>
            </w:r>
          </w:p>
        </w:tc>
        <w:tc>
          <w:tcPr>
            <w:tcW w:w="11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14"/>
              </w:rPr>
            </w:pPr>
            <w:r>
              <w:rPr>
                <w:rFonts w:ascii="Times New Roman;serif" w:hAnsi="Times New Roman;serif"/>
                <w:b/>
                <w:color w:val="231F20"/>
                <w:sz w:val="14"/>
              </w:rPr>
              <w:t>$</w:t>
            </w:r>
          </w:p>
        </w:tc>
        <w:tc>
          <w:tcPr>
            <w:tcW w:w="4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231F20"/>
                <w:sz w:val="14"/>
              </w:rPr>
            </w:pPr>
            <w:r>
              <w:rPr>
                <w:rFonts w:ascii="Times New Roman;serif" w:hAnsi="Times New Roman;serif"/>
                <w:b/>
                <w:color w:val="231F20"/>
                <w:sz w:val="14"/>
              </w:rPr>
              <w:t>(2,228)</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14"/>
              </w:rPr>
            </w:pPr>
            <w:r>
              <w:rPr>
                <w:rFonts w:ascii="Times New Roman;serif" w:hAnsi="Times New Roman;serif"/>
                <w:b/>
                <w:color w:val="231F20"/>
                <w:sz w:val="14"/>
              </w:rPr>
              <w:t>$</w:t>
            </w:r>
          </w:p>
        </w:tc>
        <w:tc>
          <w:tcPr>
            <w:tcW w:w="57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14"/>
              </w:rPr>
              <w:t>62,956</w:t>
            </w:r>
            <w:r>
              <w:rPr>
                <w:color w:val="231F20"/>
              </w:rPr>
              <w:t>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231F20"/>
          <w:sz w:val="10"/>
        </w:rPr>
        <w:t>(1)</w:t>
      </w:r>
      <w:r>
        <w:rPr>
          <w:color w:val="231F20"/>
        </w:rPr>
        <w:t xml:space="preserve"> </w:t>
      </w:r>
      <w:r>
        <w:rPr>
          <w:rFonts w:ascii="Times New Roman;serif" w:hAnsi="Times New Roman;serif"/>
          <w:b w:val="false"/>
          <w:color w:val="231F20"/>
          <w:sz w:val="16"/>
        </w:rPr>
        <w:t>The number of shares has been retroactively recast after giving effect to the Reverse Recapitalization.</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231F20"/>
          <w:sz w:val="16"/>
        </w:rPr>
        <w:t>See</w:t>
      </w:r>
      <w:r>
        <w:rPr>
          <w:color w:val="231F20"/>
        </w:rPr>
        <w:t xml:space="preserve"> </w:t>
      </w:r>
      <w:r>
        <w:rPr>
          <w:rFonts w:ascii="Times New Roman;serif" w:hAnsi="Times New Roman;serif"/>
          <w:b w:val="false"/>
          <w:color w:val="231F20"/>
          <w:sz w:val="16"/>
        </w:rPr>
        <w:t>accompanying</w:t>
      </w:r>
      <w:r>
        <w:rPr>
          <w:color w:val="231F20"/>
        </w:rPr>
        <w:t xml:space="preserve"> </w:t>
      </w:r>
      <w:r>
        <w:rPr>
          <w:rFonts w:ascii="Times New Roman;serif" w:hAnsi="Times New Roman;serif"/>
          <w:b w:val="false"/>
          <w:color w:val="231F20"/>
          <w:sz w:val="16"/>
        </w:rPr>
        <w:t>notes</w:t>
      </w:r>
      <w:r>
        <w:rPr>
          <w:color w:val="231F20"/>
        </w:rPr>
        <w:t xml:space="preserve"> </w:t>
      </w:r>
      <w:r>
        <w:rPr>
          <w:rFonts w:ascii="Times New Roman;serif" w:hAnsi="Times New Roman;serif"/>
          <w:b w:val="false"/>
          <w:color w:val="231F20"/>
          <w:sz w:val="16"/>
        </w:rPr>
        <w:t>to condensed</w:t>
      </w:r>
      <w:r>
        <w:rPr>
          <w:color w:val="231F20"/>
        </w:rPr>
        <w:t xml:space="preserve"> </w:t>
      </w:r>
      <w:r>
        <w:rPr>
          <w:rFonts w:ascii="Times New Roman;serif" w:hAnsi="Times New Roman;serif"/>
          <w:b w:val="false"/>
          <w:color w:val="231F20"/>
          <w:sz w:val="16"/>
        </w:rPr>
        <w:t>consolidated</w:t>
      </w:r>
      <w:r>
        <w:rPr>
          <w:color w:val="231F20"/>
        </w:rPr>
        <w:t xml:space="preserve"> </w:t>
      </w:r>
      <w:r>
        <w:rPr>
          <w:rFonts w:ascii="Times New Roman;serif" w:hAnsi="Times New Roman;serif"/>
          <w:b w:val="false"/>
          <w:color w:val="231F20"/>
          <w:sz w:val="16"/>
        </w:rPr>
        <w:t>financial</w:t>
      </w:r>
      <w:r>
        <w:rPr>
          <w:color w:val="231F20"/>
        </w:rPr>
        <w:t xml:space="preserve"> </w:t>
      </w:r>
      <w:r>
        <w:rPr>
          <w:rFonts w:ascii="Times New Roman;serif" w:hAnsi="Times New Roman;serif"/>
          <w:b w:val="false"/>
          <w:color w:val="231F20"/>
          <w:sz w:val="16"/>
        </w:rPr>
        <w:t>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6840"/>
                <wp:effectExtent l="0" t="0" r="0" b="0"/>
                <wp:wrapNone/>
                <wp:docPr id="23" name="Frame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12</w:t>
                      </w:r>
                    </w:p>
                  </w:txbxContent>
                </v:textbox>
                <w10:wrap type="none"/>
              </v:rect>
            </w:pict>
          </mc:Fallback>
        </mc:AlternateContent>
      </w:r>
    </w:p>
    <w:p>
      <w:pPr>
        <w:pStyle w:val="TextBody"/>
        <w:bidi w:val="0"/>
        <w:spacing w:lineRule="auto" w:line="288" w:before="0" w:after="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center"/>
        <w:rPr/>
      </w:pPr>
      <w:r>
        <w:rPr>
          <w:rFonts w:ascii="Times New Roman;serif" w:hAnsi="Times New Roman;serif"/>
          <w:b/>
          <w:color w:val="231F20"/>
          <w:sz w:val="20"/>
        </w:rPr>
        <w:t>XANADU</w:t>
      </w:r>
      <w:r>
        <w:rPr>
          <w:color w:val="231F20"/>
        </w:rPr>
        <w:t xml:space="preserve"> </w:t>
      </w:r>
      <w:r>
        <w:rPr>
          <w:rFonts w:ascii="Times New Roman;serif" w:hAnsi="Times New Roman;serif"/>
          <w:b/>
          <w:color w:val="231F20"/>
          <w:sz w:val="20"/>
        </w:rPr>
        <w:t>QUANTUM</w:t>
      </w:r>
      <w:r>
        <w:rPr>
          <w:color w:val="231F20"/>
        </w:rPr>
        <w:t xml:space="preserve"> </w:t>
      </w:r>
      <w:r>
        <w:rPr>
          <w:rFonts w:ascii="Times New Roman;serif" w:hAnsi="Times New Roman;serif"/>
          <w:b/>
          <w:color w:val="231F20"/>
          <w:sz w:val="20"/>
        </w:rPr>
        <w:t>TECHNOLOGIES LIMITED</w:t>
      </w:r>
    </w:p>
    <w:p>
      <w:pPr>
        <w:pStyle w:val="TextBody"/>
        <w:bidi w:val="0"/>
        <w:spacing w:lineRule="auto" w:line="288" w:before="0" w:after="0"/>
        <w:jc w:val="center"/>
        <w:rPr/>
      </w:pPr>
      <w:r>
        <w:rPr>
          <w:rFonts w:ascii="Times New Roman;serif" w:hAnsi="Times New Roman;serif"/>
          <w:b/>
          <w:color w:val="231F20"/>
          <w:sz w:val="20"/>
        </w:rPr>
        <w:t>Notes</w:t>
      </w:r>
      <w:r>
        <w:rPr>
          <w:color w:val="231F20"/>
        </w:rPr>
        <w:t xml:space="preserve"> </w:t>
      </w:r>
      <w:r>
        <w:rPr>
          <w:rFonts w:ascii="Times New Roman;serif" w:hAnsi="Times New Roman;serif"/>
          <w:b/>
          <w:color w:val="231F20"/>
          <w:sz w:val="20"/>
        </w:rPr>
        <w:t>to</w:t>
      </w:r>
      <w:r>
        <w:rPr>
          <w:color w:val="231F20"/>
        </w:rPr>
        <w:t xml:space="preserve"> </w:t>
      </w:r>
      <w:r>
        <w:rPr>
          <w:rFonts w:ascii="Times New Roman;serif" w:hAnsi="Times New Roman;serif"/>
          <w:b/>
          <w:color w:val="231F20"/>
          <w:sz w:val="20"/>
        </w:rPr>
        <w:t>the</w:t>
      </w:r>
      <w:r>
        <w:rPr>
          <w:color w:val="231F20"/>
        </w:rPr>
        <w:t xml:space="preserve"> </w:t>
      </w:r>
      <w:r>
        <w:rPr>
          <w:rFonts w:ascii="Times New Roman;serif" w:hAnsi="Times New Roman;serif"/>
          <w:b/>
          <w:color w:val="231F20"/>
          <w:sz w:val="20"/>
        </w:rPr>
        <w:t>Condensed</w:t>
      </w:r>
      <w:r>
        <w:rPr>
          <w:color w:val="231F20"/>
        </w:rPr>
        <w:t xml:space="preserve"> </w:t>
      </w:r>
      <w:r>
        <w:rPr>
          <w:rFonts w:ascii="Times New Roman;serif" w:hAnsi="Times New Roman;serif"/>
          <w:b/>
          <w:color w:val="231F20"/>
          <w:sz w:val="20"/>
        </w:rPr>
        <w:t>Consolidated</w:t>
      </w:r>
      <w:r>
        <w:rPr>
          <w:color w:val="231F20"/>
        </w:rPr>
        <w:t xml:space="preserve"> </w:t>
      </w:r>
      <w:r>
        <w:rPr>
          <w:rFonts w:ascii="Times New Roman;serif" w:hAnsi="Times New Roman;serif"/>
          <w:b/>
          <w:color w:val="231F20"/>
          <w:sz w:val="20"/>
        </w:rPr>
        <w:t>Financial</w:t>
      </w:r>
      <w:r>
        <w:rPr>
          <w:color w:val="231F20"/>
        </w:rPr>
        <w:t xml:space="preserve"> </w:t>
      </w:r>
      <w:r>
        <w:rPr>
          <w:rFonts w:ascii="Times New Roman;serif" w:hAnsi="Times New Roman;serif"/>
          <w:b/>
          <w:color w:val="231F20"/>
          <w:sz w:val="20"/>
        </w:rPr>
        <w:t xml:space="preserve">Statements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 except for share and per share amounts, ratios or as otherwise noted)</w:t>
      </w:r>
    </w:p>
    <w:p>
      <w:pPr>
        <w:pStyle w:val="TextBody"/>
        <w:bidi w:val="0"/>
        <w:spacing w:before="18"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170"/>
        <w:jc w:val="left"/>
        <w:rPr>
          <w:rFonts w:ascii="Times New Roman;serif" w:hAnsi="Times New Roman;serif"/>
          <w:b/>
          <w:color w:val="231F20"/>
          <w:sz w:val="20"/>
        </w:rPr>
      </w:pPr>
      <w:r>
        <w:rPr>
          <w:rFonts w:ascii="Times New Roman;serif" w:hAnsi="Times New Roman;serif"/>
          <w:b/>
          <w:color w:val="231F20"/>
          <w:sz w:val="20"/>
        </w:rPr>
        <w:t>Note 1 - Description of business: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Xanadu Quantum Technologies Limited (the “Company” or “Xanadu”) was incorporated under the Business Corporations Act (Ontario) on October 2, 2025. The Company was formed to facilitate the merger (the “Reverse Recapitalization”) between Xanadu Quantum Technologies Inc. (“Old Xanadu”) and Crane Harbor Acquisition Corp. (“SPAC”), a special purpose acquisition company. Old Xanadu was incorporated under the Canada Business Corporations Act on December 7, 2016, and subsequently continued under the Business Corporations Act (Ontario) on October 29, 2025. The Company is headquartered in Toronto, Ontario.</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March 26, 2026, Xanadu completed its previously announced Reverse Recapitalization pursuant to the merger agreement (the "Agreement"), dated November 3, 2025, with Old Xanadu and SPAC, a Cayman Islands exempted corporation. SPAC was incorporated on January 2, 2025, for the purpose of effecting a merger, share exchange, asset acquisition, share purchase, reorganization or similar reverse recapitalization with one or more businesses. Upon closing, Xanadu became the parent company of both Old Xanadu and SPAC. SPAC was continued under the Business Corporations Act (Ontario) on March 20, 2026 and was renamed Xanadu Quantum Technologies Former SPAC Inc. on March 27, 2026. The Reverse Recapitalization was accounted for as a reverse recapitalization in accordance with U.S. GAAP.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Following the Reverse Recapitalization the Xanadu Class B Subordinate Voting Shares began trading on the Nasdaq and the TSX under the symbol “XNDU”.</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specializes in designing photonic devices and the platforms around them, including the experimentation and development of quantum computers available on the cloud with supporting software, along with quantum simulators and other related products and offerings. The Company’s mission is to build quantum computers that are useful and available to people everywhere.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540"/>
        <w:jc w:val="left"/>
        <w:rPr/>
      </w:pPr>
      <w:r>
        <w:rPr>
          <w:rFonts w:ascii="Times New Roman;serif" w:hAnsi="Times New Roman;serif"/>
          <w:b/>
          <w:color w:val="231F20"/>
          <w:sz w:val="20"/>
        </w:rPr>
        <w:t>Note 2 - Basis</w:t>
      </w:r>
      <w:r>
        <w:rPr>
          <w:color w:val="231F20"/>
        </w:rPr>
        <w:t xml:space="preserve"> </w:t>
      </w:r>
      <w:r>
        <w:rPr>
          <w:rFonts w:ascii="Times New Roman;serif" w:hAnsi="Times New Roman;serif"/>
          <w:b/>
          <w:color w:val="231F20"/>
          <w:sz w:val="20"/>
        </w:rPr>
        <w:t>of Presentation and Summary of Significant Accounting Policies</w:t>
      </w:r>
    </w:p>
    <w:p>
      <w:pPr>
        <w:pStyle w:val="TextBody"/>
        <w:bidi w:val="0"/>
        <w:spacing w:lineRule="auto" w:line="288" w:before="120" w:after="120"/>
        <w:ind w:left="0" w:right="0" w:hanging="360"/>
        <w:jc w:val="left"/>
        <w:rPr>
          <w:rFonts w:ascii="Times New Roman;serif" w:hAnsi="Times New Roman;serif"/>
          <w:b/>
          <w:i/>
          <w:color w:val="231F20"/>
          <w:sz w:val="20"/>
        </w:rPr>
      </w:pPr>
      <w:r>
        <w:rPr>
          <w:rFonts w:ascii="Times New Roman;serif" w:hAnsi="Times New Roman;serif"/>
          <w:b/>
          <w:i/>
          <w:color w:val="231F20"/>
          <w:sz w:val="20"/>
        </w:rPr>
        <w:t>Basis of presentation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have been prepared on a going concern basis in accordance with U.S. generally accepted accounting principles (“U.S. GAAP”) for interim financial reporting and pursuant to the accounting and disclosure rules and regulations of the United States Securities and Exchange Commission ("SEC"), and reflect all adjustments, consisting only of normal recurring adjustments, which are, in the opinion of management, necessary for a fair presentation of the financial position as of June 30, 2026 and the results of operations and cash flows for the periods presented. Certain information or footnote disclosures, normally included in annual financial statements prepared in accordance with U.S. GAAP, have been condensed or omitted pursuant to the rules and regulations of the SEC for interim financial reporting. Accordingly, these condensed consolidated financial statements do not include all of the information and footnotes required by U.S. GAAP for complete financial statements. Operating results for the three and six months ended June 30, 2026 are not necessarily indicative of results that may be expected for the full year or any other period. Unless otherwise noted, these condensed consolidated financial statements are presented in thousands of United States (U.S.) dollars (except per share amounts), which is also the Company’s functional currency.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condensed consolidated financial statements should be read in conjunction with the Company’s audited financial statements included in our Annual Report on Form 20-F for the year ended December 31, 2025 filed with the SEC and Canadian Securities Administrators ("CSA") on April 9, 2026.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discussed in Note 3, 'Reverse Recapitalization,' the Reverse Recapitalization was accounted for as a reverse recapitalization. Accordingly, the information presented for the year ended and as of December 31, 2025, and the three and six months ended June 30, 2025, represents the results and financial position of Old Xanadu.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6840"/>
                <wp:effectExtent l="0" t="0" r="0" b="0"/>
                <wp:wrapNone/>
                <wp:docPr id="24" name="Frame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13</w:t>
                      </w:r>
                    </w:p>
                  </w:txbxContent>
                </v:textbox>
                <w10:wrap type="none"/>
              </v:rect>
            </w:pict>
          </mc:Fallback>
        </mc:AlternateContent>
      </w:r>
    </w:p>
    <w:p>
      <w:pPr>
        <w:pStyle w:val="TextBody"/>
        <w:bidi w:val="0"/>
        <w:spacing w:lineRule="auto" w:line="288" w:before="0" w:after="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center"/>
        <w:rPr/>
      </w:pPr>
      <w:r>
        <w:rPr>
          <w:rFonts w:ascii="Times New Roman;serif" w:hAnsi="Times New Roman;serif"/>
          <w:b/>
          <w:color w:val="231F20"/>
          <w:sz w:val="20"/>
        </w:rPr>
        <w:t>XANADU</w:t>
      </w:r>
      <w:r>
        <w:rPr>
          <w:color w:val="231F20"/>
        </w:rPr>
        <w:t xml:space="preserve"> </w:t>
      </w:r>
      <w:r>
        <w:rPr>
          <w:rFonts w:ascii="Times New Roman;serif" w:hAnsi="Times New Roman;serif"/>
          <w:b/>
          <w:color w:val="231F20"/>
          <w:sz w:val="20"/>
        </w:rPr>
        <w:t>QUANTUM</w:t>
      </w:r>
      <w:r>
        <w:rPr>
          <w:color w:val="231F20"/>
        </w:rPr>
        <w:t xml:space="preserve"> </w:t>
      </w:r>
      <w:r>
        <w:rPr>
          <w:rFonts w:ascii="Times New Roman;serif" w:hAnsi="Times New Roman;serif"/>
          <w:b/>
          <w:color w:val="231F20"/>
          <w:sz w:val="20"/>
        </w:rPr>
        <w:t>TECHNOLOGIES LIMITED</w:t>
      </w:r>
    </w:p>
    <w:p>
      <w:pPr>
        <w:pStyle w:val="TextBody"/>
        <w:bidi w:val="0"/>
        <w:spacing w:lineRule="auto" w:line="288" w:before="0" w:after="0"/>
        <w:jc w:val="center"/>
        <w:rPr/>
      </w:pPr>
      <w:r>
        <w:rPr>
          <w:rFonts w:ascii="Times New Roman;serif" w:hAnsi="Times New Roman;serif"/>
          <w:b/>
          <w:color w:val="231F20"/>
          <w:sz w:val="20"/>
        </w:rPr>
        <w:t>Notes</w:t>
      </w:r>
      <w:r>
        <w:rPr>
          <w:color w:val="231F20"/>
        </w:rPr>
        <w:t xml:space="preserve"> </w:t>
      </w:r>
      <w:r>
        <w:rPr>
          <w:rFonts w:ascii="Times New Roman;serif" w:hAnsi="Times New Roman;serif"/>
          <w:b/>
          <w:color w:val="231F20"/>
          <w:sz w:val="20"/>
        </w:rPr>
        <w:t>to</w:t>
      </w:r>
      <w:r>
        <w:rPr>
          <w:color w:val="231F20"/>
        </w:rPr>
        <w:t xml:space="preserve"> </w:t>
      </w:r>
      <w:r>
        <w:rPr>
          <w:rFonts w:ascii="Times New Roman;serif" w:hAnsi="Times New Roman;serif"/>
          <w:b/>
          <w:color w:val="231F20"/>
          <w:sz w:val="20"/>
        </w:rPr>
        <w:t>the</w:t>
      </w:r>
      <w:r>
        <w:rPr>
          <w:color w:val="231F20"/>
        </w:rPr>
        <w:t xml:space="preserve"> </w:t>
      </w:r>
      <w:r>
        <w:rPr>
          <w:rFonts w:ascii="Times New Roman;serif" w:hAnsi="Times New Roman;serif"/>
          <w:b/>
          <w:color w:val="231F20"/>
          <w:sz w:val="20"/>
        </w:rPr>
        <w:t>Condensed</w:t>
      </w:r>
      <w:r>
        <w:rPr>
          <w:color w:val="231F20"/>
        </w:rPr>
        <w:t xml:space="preserve"> </w:t>
      </w:r>
      <w:r>
        <w:rPr>
          <w:rFonts w:ascii="Times New Roman;serif" w:hAnsi="Times New Roman;serif"/>
          <w:b/>
          <w:color w:val="231F20"/>
          <w:sz w:val="20"/>
        </w:rPr>
        <w:t>Consolidated</w:t>
      </w:r>
      <w:r>
        <w:rPr>
          <w:color w:val="231F20"/>
        </w:rPr>
        <w:t xml:space="preserve"> </w:t>
      </w:r>
      <w:r>
        <w:rPr>
          <w:rFonts w:ascii="Times New Roman;serif" w:hAnsi="Times New Roman;serif"/>
          <w:b/>
          <w:color w:val="231F20"/>
          <w:sz w:val="20"/>
        </w:rPr>
        <w:t>Financial</w:t>
      </w:r>
      <w:r>
        <w:rPr>
          <w:color w:val="231F20"/>
        </w:rPr>
        <w:t xml:space="preserve"> </w:t>
      </w:r>
      <w:r>
        <w:rPr>
          <w:rFonts w:ascii="Times New Roman;serif" w:hAnsi="Times New Roman;serif"/>
          <w:b/>
          <w:color w:val="231F20"/>
          <w:sz w:val="20"/>
        </w:rPr>
        <w:t xml:space="preserve">Statements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 except for share and per share amounts, ratios or as otherwise noted)</w:t>
      </w:r>
    </w:p>
    <w:p>
      <w:pPr>
        <w:pStyle w:val="TextBody"/>
        <w:bidi w:val="0"/>
        <w:spacing w:lineRule="auto" w:line="288" w:before="120" w:after="120"/>
        <w:ind w:left="0" w:right="0" w:hanging="1170"/>
        <w:jc w:val="both"/>
        <w:rPr>
          <w:rFonts w:ascii="Times New Roman;serif" w:hAnsi="Times New Roman;serif"/>
          <w:b/>
          <w:i/>
          <w:color w:val="231F20"/>
          <w:sz w:val="20"/>
        </w:rPr>
      </w:pPr>
      <w:r>
        <w:rPr>
          <w:rFonts w:ascii="Times New Roman;serif" w:hAnsi="Times New Roman;serif"/>
          <w:b/>
          <w:i/>
          <w:color w:val="231F20"/>
          <w:sz w:val="20"/>
        </w:rPr>
        <w:t>Basis of Consolidation</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financial statements of the Company include the accounts of the Company and its wholly owned subsidiaries. Any subsidiaries that are formed or acquired during the year are consolidated from their respective dates of formation or acquisition. </w:t>
      </w:r>
    </w:p>
    <w:p>
      <w:pPr>
        <w:pStyle w:val="TextBody"/>
        <w:bidi w:val="0"/>
        <w:spacing w:lineRule="auto" w:line="288" w:before="120" w:after="120"/>
        <w:ind w:left="0" w:right="0" w:firstLine="360"/>
        <w:jc w:val="left"/>
        <w:rPr/>
      </w:pPr>
      <w:r>
        <w:rPr>
          <w:rFonts w:ascii="Times New Roman;serif" w:hAnsi="Times New Roman;serif"/>
          <w:b w:val="false"/>
          <w:color w:val="000000"/>
          <w:sz w:val="20"/>
        </w:rPr>
        <w:t>All intercompany transactions and balances have been eliminated</w:t>
      </w:r>
      <w:r>
        <w:rPr>
          <w:rFonts w:ascii="Times New Roman;serif" w:hAnsi="Times New Roman;serif"/>
          <w:b w:val="false"/>
          <w:color w:val="231F20"/>
          <w:sz w:val="20"/>
        </w:rPr>
        <w:t>.</w:t>
      </w:r>
    </w:p>
    <w:p>
      <w:pPr>
        <w:pStyle w:val="TextBody"/>
        <w:bidi w:val="0"/>
        <w:spacing w:lineRule="auto" w:line="240" w:before="170" w:after="283"/>
        <w:jc w:val="left"/>
        <w:rPr>
          <w:rFonts w:ascii="Times New Roman;serif" w:hAnsi="Times New Roman;serif"/>
          <w:b/>
          <w:i/>
          <w:color w:val="000000"/>
          <w:sz w:val="20"/>
        </w:rPr>
      </w:pPr>
      <w:r>
        <w:rPr>
          <w:rFonts w:ascii="Times New Roman;serif" w:hAnsi="Times New Roman;serif"/>
          <w:b/>
          <w:i/>
          <w:color w:val="000000"/>
          <w:sz w:val="20"/>
        </w:rPr>
        <w:t xml:space="preserve">Use of Estimates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Xanadu’s accounting estimates and assumptions may change over time in response to risks and uncertainties. As of the date of issuance of these condensed consolidated financial statements, Xanadu is not aware of any specific event or circumstance that would require Xanadu to update estimates, judgments or revise the carrying value of any assets or liabilities.</w:t>
      </w:r>
    </w:p>
    <w:p>
      <w:pPr>
        <w:pStyle w:val="TextBody"/>
        <w:bidi w:val="0"/>
        <w:spacing w:lineRule="auto" w:line="288" w:before="120" w:after="120"/>
        <w:ind w:left="0" w:right="0" w:hanging="270"/>
        <w:jc w:val="both"/>
        <w:rPr>
          <w:rFonts w:ascii="Times New Roman;serif" w:hAnsi="Times New Roman;serif"/>
          <w:b/>
          <w:i/>
          <w:color w:val="231F20"/>
          <w:sz w:val="20"/>
        </w:rPr>
      </w:pPr>
      <w:r>
        <w:rPr>
          <w:rFonts w:ascii="Times New Roman;serif" w:hAnsi="Times New Roman;serif"/>
          <w:b/>
          <w:i/>
          <w:color w:val="231F20"/>
          <w:sz w:val="20"/>
        </w:rPr>
        <w:t>Liquidity and Going Concern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financial statements have been prepared on a basis that assumes the Company will continue as a going concern, which contemplates the realization of assets and the settlement of liabilities in the normal course of business. The Company has incurred recurring net losses and negative cash flows from operations since inception.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had an accumulated deficit of $270,365 and $206,303, respectively. For the six months ended June 30, 2026 and 2025, the Company incurred net losses of $62,655 and $27,345, respectively, and the Company had net cash outflows from operating activities of $30,630 and $27,374, respectively.</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Company had cash and cash equivalents of $312,780 and $16,164 and net working capital of $318,249 and $31,237, respectively.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March 26, 2026, Xanadu successfully consummated its reverse recapitalization with SPAC and Old Xanadu and a concurrent PIPE investment. The Company received gross proceeds from the Reverse Recapitalization of $301,646, which includes $275,000 of PIPE financing and $26,646 of cash from the SPAC's trust account. Additionally, during the second quarter of 2026, we received $67,154 in net cash proceeds, through the issuance of 5,467,524 Class B Subordinate Voting Shares under the synthetic at-the-market facility ("SATM Facility") that the Company entered into in the second quarter of 2026 (see Note 13). As of June 30, 2026, the Company had remaining share issuance capacity under the SATM Facility of up to 24,532,476 shares, or up to $232,846.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Based on Xanadu's current operating plan, management believes that the existing cash and cash equivalents will be sufficient to fund operations, research and development ("R&amp;D") activities, and capital expenditure requirements for at least 12 months from the date these condensed consolidated financial statements are issued. </w:t>
      </w:r>
    </w:p>
    <w:p>
      <w:pPr>
        <w:pStyle w:val="TextBody"/>
        <w:bidi w:val="0"/>
        <w:spacing w:lineRule="auto" w:line="288" w:before="120" w:after="120"/>
        <w:ind w:left="0" w:right="0" w:hanging="1200"/>
        <w:jc w:val="both"/>
        <w:rPr/>
      </w:pPr>
      <w:r>
        <w:rPr>
          <w:rFonts w:ascii="Times New Roman;serif" w:hAnsi="Times New Roman;serif"/>
          <w:b/>
          <w:i/>
          <w:color w:val="000000"/>
          <w:sz w:val="20"/>
        </w:rPr>
        <w:t>Emerging Growth Company Status</w:t>
      </w:r>
      <w:r>
        <w:rPr>
          <w:color w:val="000000"/>
        </w:rPr>
        <w:t xml:space="preserve">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 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6840"/>
                <wp:effectExtent l="0" t="0" r="0" b="0"/>
                <wp:wrapNone/>
                <wp:docPr id="25" name="Frame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14</w:t>
                      </w:r>
                    </w:p>
                  </w:txbxContent>
                </v:textbox>
                <w10:wrap type="none"/>
              </v:rect>
            </w:pict>
          </mc:Fallback>
        </mc:AlternateContent>
      </w:r>
    </w:p>
    <w:p>
      <w:pPr>
        <w:pStyle w:val="TextBody"/>
        <w:bidi w:val="0"/>
        <w:spacing w:lineRule="auto" w:line="288" w:before="0" w:after="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center"/>
        <w:rPr/>
      </w:pPr>
      <w:r>
        <w:rPr>
          <w:rFonts w:ascii="Times New Roman;serif" w:hAnsi="Times New Roman;serif"/>
          <w:b/>
          <w:color w:val="231F20"/>
          <w:sz w:val="20"/>
        </w:rPr>
        <w:t>XANADU</w:t>
      </w:r>
      <w:r>
        <w:rPr>
          <w:color w:val="231F20"/>
        </w:rPr>
        <w:t xml:space="preserve"> </w:t>
      </w:r>
      <w:r>
        <w:rPr>
          <w:rFonts w:ascii="Times New Roman;serif" w:hAnsi="Times New Roman;serif"/>
          <w:b/>
          <w:color w:val="231F20"/>
          <w:sz w:val="20"/>
        </w:rPr>
        <w:t>QUANTUM</w:t>
      </w:r>
      <w:r>
        <w:rPr>
          <w:color w:val="231F20"/>
        </w:rPr>
        <w:t xml:space="preserve"> </w:t>
      </w:r>
      <w:r>
        <w:rPr>
          <w:rFonts w:ascii="Times New Roman;serif" w:hAnsi="Times New Roman;serif"/>
          <w:b/>
          <w:color w:val="231F20"/>
          <w:sz w:val="20"/>
        </w:rPr>
        <w:t>TECHNOLOGIES LIMITED</w:t>
      </w:r>
    </w:p>
    <w:p>
      <w:pPr>
        <w:pStyle w:val="TextBody"/>
        <w:bidi w:val="0"/>
        <w:spacing w:lineRule="auto" w:line="288" w:before="0" w:after="0"/>
        <w:jc w:val="center"/>
        <w:rPr/>
      </w:pPr>
      <w:r>
        <w:rPr>
          <w:rFonts w:ascii="Times New Roman;serif" w:hAnsi="Times New Roman;serif"/>
          <w:b/>
          <w:color w:val="231F20"/>
          <w:sz w:val="20"/>
        </w:rPr>
        <w:t>Notes</w:t>
      </w:r>
      <w:r>
        <w:rPr>
          <w:color w:val="231F20"/>
        </w:rPr>
        <w:t xml:space="preserve"> </w:t>
      </w:r>
      <w:r>
        <w:rPr>
          <w:rFonts w:ascii="Times New Roman;serif" w:hAnsi="Times New Roman;serif"/>
          <w:b/>
          <w:color w:val="231F20"/>
          <w:sz w:val="20"/>
        </w:rPr>
        <w:t>to</w:t>
      </w:r>
      <w:r>
        <w:rPr>
          <w:color w:val="231F20"/>
        </w:rPr>
        <w:t xml:space="preserve"> </w:t>
      </w:r>
      <w:r>
        <w:rPr>
          <w:rFonts w:ascii="Times New Roman;serif" w:hAnsi="Times New Roman;serif"/>
          <w:b/>
          <w:color w:val="231F20"/>
          <w:sz w:val="20"/>
        </w:rPr>
        <w:t>the</w:t>
      </w:r>
      <w:r>
        <w:rPr>
          <w:color w:val="231F20"/>
        </w:rPr>
        <w:t xml:space="preserve"> </w:t>
      </w:r>
      <w:r>
        <w:rPr>
          <w:rFonts w:ascii="Times New Roman;serif" w:hAnsi="Times New Roman;serif"/>
          <w:b/>
          <w:color w:val="231F20"/>
          <w:sz w:val="20"/>
        </w:rPr>
        <w:t>Condensed</w:t>
      </w:r>
      <w:r>
        <w:rPr>
          <w:color w:val="231F20"/>
        </w:rPr>
        <w:t xml:space="preserve"> </w:t>
      </w:r>
      <w:r>
        <w:rPr>
          <w:rFonts w:ascii="Times New Roman;serif" w:hAnsi="Times New Roman;serif"/>
          <w:b/>
          <w:color w:val="231F20"/>
          <w:sz w:val="20"/>
        </w:rPr>
        <w:t>Consolidated</w:t>
      </w:r>
      <w:r>
        <w:rPr>
          <w:color w:val="231F20"/>
        </w:rPr>
        <w:t xml:space="preserve"> </w:t>
      </w:r>
      <w:r>
        <w:rPr>
          <w:rFonts w:ascii="Times New Roman;serif" w:hAnsi="Times New Roman;serif"/>
          <w:b/>
          <w:color w:val="231F20"/>
          <w:sz w:val="20"/>
        </w:rPr>
        <w:t>Financial</w:t>
      </w:r>
      <w:r>
        <w:rPr>
          <w:color w:val="231F20"/>
        </w:rPr>
        <w:t xml:space="preserve"> </w:t>
      </w:r>
      <w:r>
        <w:rPr>
          <w:rFonts w:ascii="Times New Roman;serif" w:hAnsi="Times New Roman;serif"/>
          <w:b/>
          <w:color w:val="231F20"/>
          <w:sz w:val="20"/>
        </w:rPr>
        <w:t xml:space="preserve">Statements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 except for share and per share amounts, ratios or as otherwise noted)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comply with the requirements that apply to non-emerging growth companies but any such election to opt out is irrevocable. The Company has elected to not opt out of such extended transition period.</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Summary of Significant Accounting Policies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(a) Cash and cash equivalents: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Xanadu considers all short term highly liquid investments purchased with original maturities at their acquisition date of three months or less to be cash equivalents. Xanadu maintains its cash and investments with major financial institutions, which, at times, may exceed federally insured limits. Xanadu did not hold any cash equivalents as of June 30, 2026 and December 31, 2025.</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(b) Accounts receivable, net: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Trade receivables are non-interest bearing and represent amounts billed and currently due from customers at the gross invoiced amount as well as unbilled amounts related to unconditional rights for consideration to be received for services performed but not yet invoiced. A receivable is recorded when Xanadu has an unconditional right to receive payment. Xanadu’s accounts receivable includes trade and other types of receivables.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 periodic basis, management evaluates its accounts receivable and determines whether to provide an allowance for credit losses. This assessment is based on management’s evaluation of the aging of accounts, historical collection experience and current economic expectations. As of June 30, 2026 and December 31, 2025, Xanadu had not recorded any allowance for doubtful accounts.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 Materials and supplies, net: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Materials and supplies are carried at average cost and recorded in materials and supplies in the consolidated balance sheets. Materials and supplies used in R&amp;D efforts are expensed when consumed if an alternative use exists, otherwise are expensed when incurred.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Materials and supplies are evaluated for excess quantities and obsolescence. This evaluation includes an analysis of Xanadu’s current and future strategic plans, risk of technological obsolescence, and general market conditions.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(d) Property and equipment, net: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and equipment are stated at acquisition cost, less accumulated depreciation and impairment. Depreciation on property and equipment is computed on a straight-line basis over the estimated useful lives of the assets at the time of acquisition. Leasehold improvements are amortized over the lesser of the term of the lease or the useful life of the asset.</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estimated useful lives of Xanadu’s property and equipment are as follows:</w:t>
      </w:r>
    </w:p>
    <w:tbl>
      <w:tblPr>
        <w:tblW w:w="6240" w:type="dxa"/>
        <w:jc w:val="left"/>
        <w:tblInd w:w="0" w:type="dxa"/>
        <w:tblLayout w:type="fixed"/>
        <w:tblCellMar>
          <w:top w:w="28" w:type="dxa"/>
          <w:left w:w="28" w:type="dxa"/>
          <w:bottom w:w="28" w:type="dxa"/>
          <w:right w:w="28" w:type="dxa"/>
        </w:tblCellMar>
      </w:tblPr>
      <w:tblGrid>
        <w:gridCol w:w="923"/>
        <w:gridCol w:w="811"/>
        <w:gridCol w:w="816"/>
        <w:gridCol w:w="1078"/>
        <w:gridCol w:w="1078"/>
        <w:gridCol w:w="1534"/>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systems and servers</w:t>
            </w:r>
          </w:p>
        </w:tc>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 years</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 equipment</w:t>
            </w:r>
          </w:p>
        </w:tc>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 years</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Test and computer equipment</w:t>
            </w:r>
          </w:p>
        </w:tc>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 years</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 years</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Shorter of lease term or estimated useful life</w:t>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Equipment deposits for property and equipment are classified as long-term deposits on the consolidated balance sheets until the underlying assets are delivered, installed, and placed in service, at which time they are reclassified to property and equipment, net.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Repairs and maintenance costs are expensed as incurred. Upon disposition of property and equipment, the cost and related accumulated depreciation are derecognized and any resulting gain or loss is reflected in other income (expense), net within the consolidated statements of operations and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6840"/>
                <wp:effectExtent l="0" t="0" r="0" b="0"/>
                <wp:wrapNone/>
                <wp:docPr id="26" name="Frame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15</w:t>
                      </w:r>
                    </w:p>
                  </w:txbxContent>
                </v:textbox>
                <w10:wrap type="none"/>
              </v:rect>
            </w:pict>
          </mc:Fallback>
        </mc:AlternateContent>
      </w:r>
    </w:p>
    <w:p>
      <w:pPr>
        <w:pStyle w:val="TextBody"/>
        <w:bidi w:val="0"/>
        <w:spacing w:lineRule="auto" w:line="288" w:before="0" w:after="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center"/>
        <w:rPr/>
      </w:pPr>
      <w:r>
        <w:rPr>
          <w:rFonts w:ascii="Times New Roman;serif" w:hAnsi="Times New Roman;serif"/>
          <w:b/>
          <w:color w:val="231F20"/>
          <w:sz w:val="20"/>
        </w:rPr>
        <w:t>XANADU</w:t>
      </w:r>
      <w:r>
        <w:rPr>
          <w:color w:val="231F20"/>
        </w:rPr>
        <w:t xml:space="preserve"> </w:t>
      </w:r>
      <w:r>
        <w:rPr>
          <w:rFonts w:ascii="Times New Roman;serif" w:hAnsi="Times New Roman;serif"/>
          <w:b/>
          <w:color w:val="231F20"/>
          <w:sz w:val="20"/>
        </w:rPr>
        <w:t>QUANTUM</w:t>
      </w:r>
      <w:r>
        <w:rPr>
          <w:color w:val="231F20"/>
        </w:rPr>
        <w:t xml:space="preserve"> </w:t>
      </w:r>
      <w:r>
        <w:rPr>
          <w:rFonts w:ascii="Times New Roman;serif" w:hAnsi="Times New Roman;serif"/>
          <w:b/>
          <w:color w:val="231F20"/>
          <w:sz w:val="20"/>
        </w:rPr>
        <w:t>TECHNOLOGIES LIMITED</w:t>
      </w:r>
    </w:p>
    <w:p>
      <w:pPr>
        <w:pStyle w:val="TextBody"/>
        <w:bidi w:val="0"/>
        <w:spacing w:lineRule="auto" w:line="288" w:before="0" w:after="0"/>
        <w:jc w:val="center"/>
        <w:rPr/>
      </w:pPr>
      <w:r>
        <w:rPr>
          <w:rFonts w:ascii="Times New Roman;serif" w:hAnsi="Times New Roman;serif"/>
          <w:b/>
          <w:color w:val="231F20"/>
          <w:sz w:val="20"/>
        </w:rPr>
        <w:t>Notes</w:t>
      </w:r>
      <w:r>
        <w:rPr>
          <w:color w:val="231F20"/>
        </w:rPr>
        <w:t xml:space="preserve"> </w:t>
      </w:r>
      <w:r>
        <w:rPr>
          <w:rFonts w:ascii="Times New Roman;serif" w:hAnsi="Times New Roman;serif"/>
          <w:b/>
          <w:color w:val="231F20"/>
          <w:sz w:val="20"/>
        </w:rPr>
        <w:t>to</w:t>
      </w:r>
      <w:r>
        <w:rPr>
          <w:color w:val="231F20"/>
        </w:rPr>
        <w:t xml:space="preserve"> </w:t>
      </w:r>
      <w:r>
        <w:rPr>
          <w:rFonts w:ascii="Times New Roman;serif" w:hAnsi="Times New Roman;serif"/>
          <w:b/>
          <w:color w:val="231F20"/>
          <w:sz w:val="20"/>
        </w:rPr>
        <w:t>the</w:t>
      </w:r>
      <w:r>
        <w:rPr>
          <w:color w:val="231F20"/>
        </w:rPr>
        <w:t xml:space="preserve"> </w:t>
      </w:r>
      <w:r>
        <w:rPr>
          <w:rFonts w:ascii="Times New Roman;serif" w:hAnsi="Times New Roman;serif"/>
          <w:b/>
          <w:color w:val="231F20"/>
          <w:sz w:val="20"/>
        </w:rPr>
        <w:t>Condensed</w:t>
      </w:r>
      <w:r>
        <w:rPr>
          <w:color w:val="231F20"/>
        </w:rPr>
        <w:t xml:space="preserve"> </w:t>
      </w:r>
      <w:r>
        <w:rPr>
          <w:rFonts w:ascii="Times New Roman;serif" w:hAnsi="Times New Roman;serif"/>
          <w:b/>
          <w:color w:val="231F20"/>
          <w:sz w:val="20"/>
        </w:rPr>
        <w:t>Consolidated</w:t>
      </w:r>
      <w:r>
        <w:rPr>
          <w:color w:val="231F20"/>
        </w:rPr>
        <w:t xml:space="preserve"> </w:t>
      </w:r>
      <w:r>
        <w:rPr>
          <w:rFonts w:ascii="Times New Roman;serif" w:hAnsi="Times New Roman;serif"/>
          <w:b/>
          <w:color w:val="231F20"/>
          <w:sz w:val="20"/>
        </w:rPr>
        <w:t>Financial</w:t>
      </w:r>
      <w:r>
        <w:rPr>
          <w:color w:val="231F20"/>
        </w:rPr>
        <w:t xml:space="preserve"> </w:t>
      </w:r>
      <w:r>
        <w:rPr>
          <w:rFonts w:ascii="Times New Roman;serif" w:hAnsi="Times New Roman;serif"/>
          <w:b/>
          <w:color w:val="231F20"/>
          <w:sz w:val="20"/>
        </w:rPr>
        <w:t xml:space="preserve">Statements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 except for share and per share amounts, ratios or as otherwise noted)</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(e) Intangible assets, net: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Xanadu’s intangible assets include patents and external software licenses, which are carried at cost less accumulated amortization and impairment. Intangible assets with finite useful lives are amortized over their estimated useful lives on a straight-line basis. Xanadu capitalizes costs associated with internal use software incurred during the application development stage. Capitalized costs include external direct costs of materials and services utilized in developing or obtaining internal-use software and payroll and payroll-related expenses for employees who are directly associated with and allocate time to the internal-use software project. Capitalization of such costs begins when the preliminary project stage is complete and ceases when the project is substantially complete and ready for its intended purpose. Costs incurred during the preliminary project and post-implementation stages are expensed as incurred. </w:t>
      </w:r>
    </w:p>
    <w:tbl>
      <w:tblPr>
        <w:tblW w:w="3254" w:type="dxa"/>
        <w:jc w:val="left"/>
        <w:tblInd w:w="0" w:type="dxa"/>
        <w:tblLayout w:type="fixed"/>
        <w:tblCellMar>
          <w:top w:w="28" w:type="dxa"/>
          <w:left w:w="28" w:type="dxa"/>
          <w:bottom w:w="28" w:type="dxa"/>
          <w:right w:w="28" w:type="dxa"/>
        </w:tblCellMar>
      </w:tblPr>
      <w:tblGrid>
        <w:gridCol w:w="914"/>
        <w:gridCol w:w="808"/>
        <w:gridCol w:w="813"/>
        <w:gridCol w:w="210"/>
        <w:gridCol w:w="210"/>
        <w:gridCol w:w="299"/>
      </w:tblGrid>
      <w:tr>
        <w:trPr/>
        <w:tc>
          <w:tcPr>
            <w:tcW w:w="914"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w:t>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 years</w:t>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Internally developed software</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 years</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software licenses</w:t>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 years</w:t>
            </w:r>
          </w:p>
        </w:tc>
      </w:tr>
    </w:tbl>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(f) Impairment of long-lived assets:</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Long-lived assets, including property and equipment and finite-lived intangible assets, are reviewed for impairment whenever events or changes in circumstances indicate that the carrying amounts of such assets may not be recoverable. The determination of whether any impairment exists includes a comparison of estimated undiscounted future cash flows anticipated to be generated over the remaining life of the asset or asset group to its net carrying value. If the estimated undiscounted future cash flows associated with the asset or asset group are less than the carrying value, an impairment loss is recognized to the extent the carrying amount of the asset or asset group exceeds its fair value. Xanadu did not recognize any impairment losses on long-lived assets for the three and six months ended June 30, 2026 and 2025.</w:t>
      </w:r>
    </w:p>
    <w:p>
      <w:pPr>
        <w:pStyle w:val="TextBody"/>
        <w:bidi w:val="0"/>
        <w:spacing w:lineRule="auto" w:line="240" w:before="170" w:after="283"/>
        <w:jc w:val="left"/>
        <w:rPr>
          <w:rFonts w:ascii="Times New Roman;serif" w:hAnsi="Times New Roman;serif"/>
          <w:b/>
          <w:color w:val="000000"/>
          <w:sz w:val="20"/>
        </w:rPr>
      </w:pPr>
      <w:r>
        <w:rPr>
          <w:rFonts w:ascii="Times New Roman;serif" w:hAnsi="Times New Roman;serif"/>
          <w:b/>
          <w:color w:val="000000"/>
          <w:sz w:val="20"/>
        </w:rPr>
        <w:t>(g) Foreign currency translation and transactions: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Xanadu's reporting currency is the U.S. dollar and its functional currency is the U.S. dollar. The functional currency of Xanadu's subsidiary, Old Xanadu, is the Canadian dollar. The results and financial position of the subsidiaries whose functional currency is not the U.S. dollar are translated at exchange rates in effect as of the consolidated balance sheet dates for assets and liabilities and at average exchange rates for revenues and expenses for the respective periods. Translation adjustments are included as a cumulative translation adjustment in accumulated other comprehensive income (loss).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Monetary assets and liabilities that are denominated in a currency other than the functional currency of the entity in which they reside are translated into the respective entity's functional currency using the exchange rates as of the consolidated balance sheet dates, and revenues and expenses are translated at the exchange rates prevailing when the transactions occurred. Gains and losses resulting from such foreign currency transaction translations are recognized in other income, net in the consolidated statements of operations and comprehensive loss in the period in which they arise. Non-monetary assets and liabilities that are denominated in a currency other than the functional currency of the entity in which they reside are translated into the respective entity's functional currency at historical exchange rates.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(h) Revenue recognition: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Xanadu derives revenue primarily from: (i) professional services related to research projects, proof of concept development, and quantum education and (ii) compute and other services which includes provision of compute services, such as co-development and execution of quantum algorithms on Xanadu’s quantum computing systems, and provision, on a non-exclusive basis via access to its photonic-based hardware, of quantum-computing-as-a-service (“QCaaS”).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is recognized based on the following five step model in accordance with Accounting Standards Codification (“ASC”) 606, Revenue from Contracts with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6840"/>
                <wp:effectExtent l="0" t="0" r="0" b="0"/>
                <wp:wrapNone/>
                <wp:docPr id="27" name="Frame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16</w:t>
                      </w:r>
                    </w:p>
                  </w:txbxContent>
                </v:textbox>
                <w10:wrap type="none"/>
              </v:rect>
            </w:pict>
          </mc:Fallback>
        </mc:AlternateContent>
      </w:r>
    </w:p>
    <w:p>
      <w:pPr>
        <w:pStyle w:val="TextBody"/>
        <w:bidi w:val="0"/>
        <w:spacing w:lineRule="auto" w:line="288" w:before="0" w:after="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center"/>
        <w:rPr/>
      </w:pPr>
      <w:r>
        <w:rPr>
          <w:rFonts w:ascii="Times New Roman;serif" w:hAnsi="Times New Roman;serif"/>
          <w:b/>
          <w:color w:val="231F20"/>
          <w:sz w:val="20"/>
        </w:rPr>
        <w:t>XANADU</w:t>
      </w:r>
      <w:r>
        <w:rPr>
          <w:color w:val="231F20"/>
        </w:rPr>
        <w:t xml:space="preserve"> </w:t>
      </w:r>
      <w:r>
        <w:rPr>
          <w:rFonts w:ascii="Times New Roman;serif" w:hAnsi="Times New Roman;serif"/>
          <w:b/>
          <w:color w:val="231F20"/>
          <w:sz w:val="20"/>
        </w:rPr>
        <w:t>QUANTUM</w:t>
      </w:r>
      <w:r>
        <w:rPr>
          <w:color w:val="231F20"/>
        </w:rPr>
        <w:t xml:space="preserve"> </w:t>
      </w:r>
      <w:r>
        <w:rPr>
          <w:rFonts w:ascii="Times New Roman;serif" w:hAnsi="Times New Roman;serif"/>
          <w:b/>
          <w:color w:val="231F20"/>
          <w:sz w:val="20"/>
        </w:rPr>
        <w:t>TECHNOLOGIES LIMITED</w:t>
      </w:r>
    </w:p>
    <w:p>
      <w:pPr>
        <w:pStyle w:val="TextBody"/>
        <w:bidi w:val="0"/>
        <w:spacing w:lineRule="auto" w:line="288" w:before="0" w:after="0"/>
        <w:jc w:val="center"/>
        <w:rPr/>
      </w:pPr>
      <w:r>
        <w:rPr>
          <w:rFonts w:ascii="Times New Roman;serif" w:hAnsi="Times New Roman;serif"/>
          <w:b/>
          <w:color w:val="231F20"/>
          <w:sz w:val="20"/>
        </w:rPr>
        <w:t>Notes</w:t>
      </w:r>
      <w:r>
        <w:rPr>
          <w:color w:val="231F20"/>
        </w:rPr>
        <w:t xml:space="preserve"> </w:t>
      </w:r>
      <w:r>
        <w:rPr>
          <w:rFonts w:ascii="Times New Roman;serif" w:hAnsi="Times New Roman;serif"/>
          <w:b/>
          <w:color w:val="231F20"/>
          <w:sz w:val="20"/>
        </w:rPr>
        <w:t>to</w:t>
      </w:r>
      <w:r>
        <w:rPr>
          <w:color w:val="231F20"/>
        </w:rPr>
        <w:t xml:space="preserve"> </w:t>
      </w:r>
      <w:r>
        <w:rPr>
          <w:rFonts w:ascii="Times New Roman;serif" w:hAnsi="Times New Roman;serif"/>
          <w:b/>
          <w:color w:val="231F20"/>
          <w:sz w:val="20"/>
        </w:rPr>
        <w:t>the</w:t>
      </w:r>
      <w:r>
        <w:rPr>
          <w:color w:val="231F20"/>
        </w:rPr>
        <w:t xml:space="preserve"> </w:t>
      </w:r>
      <w:r>
        <w:rPr>
          <w:rFonts w:ascii="Times New Roman;serif" w:hAnsi="Times New Roman;serif"/>
          <w:b/>
          <w:color w:val="231F20"/>
          <w:sz w:val="20"/>
        </w:rPr>
        <w:t>Condensed</w:t>
      </w:r>
      <w:r>
        <w:rPr>
          <w:color w:val="231F20"/>
        </w:rPr>
        <w:t xml:space="preserve"> </w:t>
      </w:r>
      <w:r>
        <w:rPr>
          <w:rFonts w:ascii="Times New Roman;serif" w:hAnsi="Times New Roman;serif"/>
          <w:b/>
          <w:color w:val="231F20"/>
          <w:sz w:val="20"/>
        </w:rPr>
        <w:t>Consolidated</w:t>
      </w:r>
      <w:r>
        <w:rPr>
          <w:color w:val="231F20"/>
        </w:rPr>
        <w:t xml:space="preserve"> </w:t>
      </w:r>
      <w:r>
        <w:rPr>
          <w:rFonts w:ascii="Times New Roman;serif" w:hAnsi="Times New Roman;serif"/>
          <w:b/>
          <w:color w:val="231F20"/>
          <w:sz w:val="20"/>
        </w:rPr>
        <w:t>Financial</w:t>
      </w:r>
      <w:r>
        <w:rPr>
          <w:color w:val="231F20"/>
        </w:rPr>
        <w:t xml:space="preserve"> </w:t>
      </w:r>
      <w:r>
        <w:rPr>
          <w:rFonts w:ascii="Times New Roman;serif" w:hAnsi="Times New Roman;serif"/>
          <w:b/>
          <w:color w:val="231F20"/>
          <w:sz w:val="20"/>
        </w:rPr>
        <w:t xml:space="preserve">Statements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 except for share and per share amounts, ratios or as otherwise noted)</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Identify the contract,</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Identify the performance obligations,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Determine the transaction price,</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Allocate the transaction price to the performance obligations, and</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Recognize revenue when (or as) the entity satisfies a performance obligation.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Xanadu enters into contracts that can include various combinations of products and services, which are generally capable of being distinct and accounted for as separate performance obligations. Payment terms on invoiced amounts are typically net 30 days or less. Contract durations generally range from six months to several years. A contract’s transaction price is allocated to each distinct performance obligation based on their estimated standalone selling price. Xanadu determines standalone selling price based on the observable price of a product or service when it sells the products or services separately in similar circumstances and to similar customers. Certain products and services have limited or no history of being sold on a standalone basis. In these instances, Xanadu determines standalone selling price by considering its overall pricing objectives and market conditions, including cost plus a reasonable margin. Significant pricing practices considered include Xanadu’s discounting practices, the value of the contracts, historical standalone sales, customer demographics, geographic locations, and the number and types of users within the contracts.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is recognized net of taxes, which are remitted to governmental authorities.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Professional services arrangements often include a series of activities with progress billing milestones. Xanadu’s professional services constitute an activity that provides benefits that the customer receives and consumes as the services are performed. The transaction price is generally fixed and stated in the contract with the customer. Professional services revenue is recognized based on hours and, or costs incurred as appropriate. Revenue for partially completed professional service performance obligations deemed probable of being met is recognized using an input measure based on actual labor hours incurred to date relative to total estimated labor hours required to complete the project. For fixed price contracts, revenue is recognized based on the input measure noted above as control is expected to transfer over the period that the project is completed.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Xanadu has determined that its QCaaS, including non-exclusive access to photonic hardware, is a stand-ready performance obligation to provide ongoing access to its cloud-based quantum technology platform service. The transaction price generally consists of a fixed fee for a stated volume of usage to be made available over a defined period of access. Fixed fee arrangements may also include a variable component whereby customers pay additional fees for usage exceeding contractual volume as defined by the contractual agreements. The performance obligation related to the fixed fee is satisfied over time and revenue is recognized on a straight-line basis over the access period. Any additional fees relating to extra usage are recognized in the period they occur.</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Xanadu’s compute services represent a performance obligation that is satisfied over-time. Revenue is recognized on a straight-line basis over the contract term.</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timing of revenue recognition, billings and cash collection may result in accounts receivable, contract assets, and deferred revenue on Xanadu’s consolidated balance sheets. A receivable is recorded in the period in which Xanadu provides services when it has an unconditional right to payment. Contract assets represent rights to consideration for services completed and revenue recognized for contracts that have not yet been invoiced to customers, which have been included within accounts receivable on the consolidated balance sheets.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Xanadu records deferred revenue when amounts are invoiced under contract terms or payments are received in advance of revenue recognition from products or services described above. Deferred revenue is recognized as and when the related performance obligations are satisfied.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Xanadu defers commission payments to employees or third parties that are direct and incremental to the acquisition of customer contracts in the period the contract is executed and are recognized into sales and marketing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6840"/>
                <wp:effectExtent l="0" t="0" r="0" b="0"/>
                <wp:wrapNone/>
                <wp:docPr id="28" name="Frame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17</w:t>
                      </w:r>
                    </w:p>
                  </w:txbxContent>
                </v:textbox>
                <w10:wrap type="none"/>
              </v:rect>
            </w:pict>
          </mc:Fallback>
        </mc:AlternateContent>
      </w:r>
    </w:p>
    <w:p>
      <w:pPr>
        <w:pStyle w:val="TextBody"/>
        <w:bidi w:val="0"/>
        <w:spacing w:lineRule="auto" w:line="288" w:before="0" w:after="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center"/>
        <w:rPr/>
      </w:pPr>
      <w:r>
        <w:rPr>
          <w:rFonts w:ascii="Times New Roman;serif" w:hAnsi="Times New Roman;serif"/>
          <w:b/>
          <w:color w:val="231F20"/>
          <w:sz w:val="20"/>
        </w:rPr>
        <w:t>XANADU</w:t>
      </w:r>
      <w:r>
        <w:rPr>
          <w:color w:val="231F20"/>
        </w:rPr>
        <w:t xml:space="preserve"> </w:t>
      </w:r>
      <w:r>
        <w:rPr>
          <w:rFonts w:ascii="Times New Roman;serif" w:hAnsi="Times New Roman;serif"/>
          <w:b/>
          <w:color w:val="231F20"/>
          <w:sz w:val="20"/>
        </w:rPr>
        <w:t>QUANTUM</w:t>
      </w:r>
      <w:r>
        <w:rPr>
          <w:color w:val="231F20"/>
        </w:rPr>
        <w:t xml:space="preserve"> </w:t>
      </w:r>
      <w:r>
        <w:rPr>
          <w:rFonts w:ascii="Times New Roman;serif" w:hAnsi="Times New Roman;serif"/>
          <w:b/>
          <w:color w:val="231F20"/>
          <w:sz w:val="20"/>
        </w:rPr>
        <w:t>TECHNOLOGIES LIMITED</w:t>
      </w:r>
    </w:p>
    <w:p>
      <w:pPr>
        <w:pStyle w:val="TextBody"/>
        <w:bidi w:val="0"/>
        <w:spacing w:lineRule="auto" w:line="288" w:before="0" w:after="0"/>
        <w:jc w:val="center"/>
        <w:rPr/>
      </w:pPr>
      <w:r>
        <w:rPr>
          <w:rFonts w:ascii="Times New Roman;serif" w:hAnsi="Times New Roman;serif"/>
          <w:b/>
          <w:color w:val="231F20"/>
          <w:sz w:val="20"/>
        </w:rPr>
        <w:t>Notes</w:t>
      </w:r>
      <w:r>
        <w:rPr>
          <w:color w:val="231F20"/>
        </w:rPr>
        <w:t xml:space="preserve"> </w:t>
      </w:r>
      <w:r>
        <w:rPr>
          <w:rFonts w:ascii="Times New Roman;serif" w:hAnsi="Times New Roman;serif"/>
          <w:b/>
          <w:color w:val="231F20"/>
          <w:sz w:val="20"/>
        </w:rPr>
        <w:t>to</w:t>
      </w:r>
      <w:r>
        <w:rPr>
          <w:color w:val="231F20"/>
        </w:rPr>
        <w:t xml:space="preserve"> </w:t>
      </w:r>
      <w:r>
        <w:rPr>
          <w:rFonts w:ascii="Times New Roman;serif" w:hAnsi="Times New Roman;serif"/>
          <w:b/>
          <w:color w:val="231F20"/>
          <w:sz w:val="20"/>
        </w:rPr>
        <w:t>the</w:t>
      </w:r>
      <w:r>
        <w:rPr>
          <w:color w:val="231F20"/>
        </w:rPr>
        <w:t xml:space="preserve"> </w:t>
      </w:r>
      <w:r>
        <w:rPr>
          <w:rFonts w:ascii="Times New Roman;serif" w:hAnsi="Times New Roman;serif"/>
          <w:b/>
          <w:color w:val="231F20"/>
          <w:sz w:val="20"/>
        </w:rPr>
        <w:t>Condensed</w:t>
      </w:r>
      <w:r>
        <w:rPr>
          <w:color w:val="231F20"/>
        </w:rPr>
        <w:t xml:space="preserve"> </w:t>
      </w:r>
      <w:r>
        <w:rPr>
          <w:rFonts w:ascii="Times New Roman;serif" w:hAnsi="Times New Roman;serif"/>
          <w:b/>
          <w:color w:val="231F20"/>
          <w:sz w:val="20"/>
        </w:rPr>
        <w:t>Consolidated</w:t>
      </w:r>
      <w:r>
        <w:rPr>
          <w:color w:val="231F20"/>
        </w:rPr>
        <w:t xml:space="preserve"> </w:t>
      </w:r>
      <w:r>
        <w:rPr>
          <w:rFonts w:ascii="Times New Roman;serif" w:hAnsi="Times New Roman;serif"/>
          <w:b/>
          <w:color w:val="231F20"/>
          <w:sz w:val="20"/>
        </w:rPr>
        <w:t>Financial</w:t>
      </w:r>
      <w:r>
        <w:rPr>
          <w:color w:val="231F20"/>
        </w:rPr>
        <w:t xml:space="preserve"> </w:t>
      </w:r>
      <w:r>
        <w:rPr>
          <w:rFonts w:ascii="Times New Roman;serif" w:hAnsi="Times New Roman;serif"/>
          <w:b/>
          <w:color w:val="231F20"/>
          <w:sz w:val="20"/>
        </w:rPr>
        <w:t xml:space="preserve">Statements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 except for share and per share amounts, ratios or as otherwise noted)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expense over a period consistent with the transfer of goods or services to the customer if that period is greater than one year. No such costs were incurred in the years presented.</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 Cost of revenue: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revenue consists of direct expenses related to building specialized quantum hardware and delivering Xanadu’s services. Cost of revenue includes direct manufacturing costs, personnel-related expenses, including stock-based compensation, and overhead costs, including operating lease expenses, allocated to customer-facing functions. Depreciation and amortization of quantum systems and related software are excluded from cost of revenue.</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(j) Research and development: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R&amp;D expenses are charged to the consolidated statement of operations and comprehensive loss as incurred. R&amp;D expenses are comprised of costs in performing research and development activities and include personnel-related costs, process development costs, chip fabrication costs, consulting fees, lab materials, software costs, cloud computing costs, and other related costs.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Where tangible assets or software to be used in R&amp;D activities is constructed by Xanadu or acquired, the costs are expensed as incurred unless those assets have an alternative future use. When assets with alternative future use are consumed in R&amp;D activities they are recorded as research and development expenses.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(k) Stock-based compensation: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Xanadu accounts for stock-based compensation in accordance with ASC 718, Compensation - Stock Compensation. Equity-settled stock based payments to employees and others providing similar services are recognized as stock-based compensation expense based on the fair value of the equity instruments at the grant date. Stock-based compensation expense is recognized over the requisite service period on a straight-line basis, with a corresponding increase in additional paid-in capital within shareholders’ equity. Xanadu recognizes forfeitures as they occur.</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(l) Investment tax credits and government assistance: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Refundable investment tax credits pursuant to the Scientific Research and Experimental Development program and other government assistance including grants and wage subsidies related to current expenditures are recorded as other operating income, net within the consolidated statements of operations and comprehensive loss. Non-refundable investment tax credits are recorded as a reduction in income tax expense. Xanadu accounts for investment tax credits and government grants and subsidies by analogy to International Accounting Standard 20, Accounting for Government Grants and Disclosures of Government Assistance. The investment tax credits, and government grants and subsidies are recognized in income in the period when the related expenditure is recognized as an expense provided there is reasonable assurance that Xanadu has complied with, and will continue to comply with, all conditions necessary to obtain the government assistance or credit. Government grants and assistance related to capitalized expenditures are recognized as a reduction to the carrying amount of the related asset.</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(m) Net loss per share: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Basic net loss per share is computed by dividing the net loss available to common shareholders by the weighted average number of Xanadu Class A Multiple Voting Shares and Xanadu Class B Subordinate Voting Shares (each, as defined below) outstanding during each period. Xanadu’s potentially dilutive securities include outstanding stock options and other equity compensation securities, Earn-out Shares and warrants. Diluted net loss per share gives effect to all potentially dilutive securities, assuming that such shares were outstanding and dilutive during each period, except when the inclusion of the potentially dilutive securities would have an anti-dilutive effect. Xanadu applies the two-class method when computing net loss per share, as Xanadu has issued shares that meet the definition of participating securities. The two-class method allocates earnings between common shareholders and holders of participating securities.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6840"/>
                <wp:effectExtent l="0" t="0" r="0" b="0"/>
                <wp:wrapNone/>
                <wp:docPr id="29" name="Frame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18</w:t>
                      </w:r>
                    </w:p>
                  </w:txbxContent>
                </v:textbox>
                <w10:wrap type="none"/>
              </v:rect>
            </w:pict>
          </mc:Fallback>
        </mc:AlternateContent>
      </w:r>
    </w:p>
    <w:p>
      <w:pPr>
        <w:pStyle w:val="TextBody"/>
        <w:bidi w:val="0"/>
        <w:spacing w:lineRule="auto" w:line="288" w:before="0" w:after="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center"/>
        <w:rPr/>
      </w:pPr>
      <w:r>
        <w:rPr>
          <w:rFonts w:ascii="Times New Roman;serif" w:hAnsi="Times New Roman;serif"/>
          <w:b/>
          <w:color w:val="231F20"/>
          <w:sz w:val="20"/>
        </w:rPr>
        <w:t>XANADU</w:t>
      </w:r>
      <w:r>
        <w:rPr>
          <w:color w:val="231F20"/>
        </w:rPr>
        <w:t xml:space="preserve"> </w:t>
      </w:r>
      <w:r>
        <w:rPr>
          <w:rFonts w:ascii="Times New Roman;serif" w:hAnsi="Times New Roman;serif"/>
          <w:b/>
          <w:color w:val="231F20"/>
          <w:sz w:val="20"/>
        </w:rPr>
        <w:t>QUANTUM</w:t>
      </w:r>
      <w:r>
        <w:rPr>
          <w:color w:val="231F20"/>
        </w:rPr>
        <w:t xml:space="preserve"> </w:t>
      </w:r>
      <w:r>
        <w:rPr>
          <w:rFonts w:ascii="Times New Roman;serif" w:hAnsi="Times New Roman;serif"/>
          <w:b/>
          <w:color w:val="231F20"/>
          <w:sz w:val="20"/>
        </w:rPr>
        <w:t>TECHNOLOGIES LIMITED</w:t>
      </w:r>
    </w:p>
    <w:p>
      <w:pPr>
        <w:pStyle w:val="TextBody"/>
        <w:bidi w:val="0"/>
        <w:spacing w:lineRule="auto" w:line="288" w:before="0" w:after="0"/>
        <w:jc w:val="center"/>
        <w:rPr/>
      </w:pPr>
      <w:r>
        <w:rPr>
          <w:rFonts w:ascii="Times New Roman;serif" w:hAnsi="Times New Roman;serif"/>
          <w:b/>
          <w:color w:val="231F20"/>
          <w:sz w:val="20"/>
        </w:rPr>
        <w:t>Notes</w:t>
      </w:r>
      <w:r>
        <w:rPr>
          <w:color w:val="231F20"/>
        </w:rPr>
        <w:t xml:space="preserve"> </w:t>
      </w:r>
      <w:r>
        <w:rPr>
          <w:rFonts w:ascii="Times New Roman;serif" w:hAnsi="Times New Roman;serif"/>
          <w:b/>
          <w:color w:val="231F20"/>
          <w:sz w:val="20"/>
        </w:rPr>
        <w:t>to</w:t>
      </w:r>
      <w:r>
        <w:rPr>
          <w:color w:val="231F20"/>
        </w:rPr>
        <w:t xml:space="preserve"> </w:t>
      </w:r>
      <w:r>
        <w:rPr>
          <w:rFonts w:ascii="Times New Roman;serif" w:hAnsi="Times New Roman;serif"/>
          <w:b/>
          <w:color w:val="231F20"/>
          <w:sz w:val="20"/>
        </w:rPr>
        <w:t>the</w:t>
      </w:r>
      <w:r>
        <w:rPr>
          <w:color w:val="231F20"/>
        </w:rPr>
        <w:t xml:space="preserve"> </w:t>
      </w:r>
      <w:r>
        <w:rPr>
          <w:rFonts w:ascii="Times New Roman;serif" w:hAnsi="Times New Roman;serif"/>
          <w:b/>
          <w:color w:val="231F20"/>
          <w:sz w:val="20"/>
        </w:rPr>
        <w:t>Condensed</w:t>
      </w:r>
      <w:r>
        <w:rPr>
          <w:color w:val="231F20"/>
        </w:rPr>
        <w:t xml:space="preserve"> </w:t>
      </w:r>
      <w:r>
        <w:rPr>
          <w:rFonts w:ascii="Times New Roman;serif" w:hAnsi="Times New Roman;serif"/>
          <w:b/>
          <w:color w:val="231F20"/>
          <w:sz w:val="20"/>
        </w:rPr>
        <w:t>Consolidated</w:t>
      </w:r>
      <w:r>
        <w:rPr>
          <w:color w:val="231F20"/>
        </w:rPr>
        <w:t xml:space="preserve"> </w:t>
      </w:r>
      <w:r>
        <w:rPr>
          <w:rFonts w:ascii="Times New Roman;serif" w:hAnsi="Times New Roman;serif"/>
          <w:b/>
          <w:color w:val="231F20"/>
          <w:sz w:val="20"/>
        </w:rPr>
        <w:t>Financial</w:t>
      </w:r>
      <w:r>
        <w:rPr>
          <w:color w:val="231F20"/>
        </w:rPr>
        <w:t xml:space="preserve"> </w:t>
      </w:r>
      <w:r>
        <w:rPr>
          <w:rFonts w:ascii="Times New Roman;serif" w:hAnsi="Times New Roman;serif"/>
          <w:b/>
          <w:color w:val="231F20"/>
          <w:sz w:val="20"/>
        </w:rPr>
        <w:t xml:space="preserve">Statements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 except for share and per share amounts, ratios or as otherwise noted)</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 Fair value measurement: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Fair value is defined as an exit price, representing the amount that would be received to sell an asset or paid to transfer a liability in an orderly transaction between market participants. In determining fair value, the use of various valuation methodologies, including market, income and cost approaches is permissible. The inputs to these methodologies consider market comparable information, taking into account the principal or most advantageous market in which Xanadu would transact. The fair value hierarchy prioritizes which inputs should be used in measuring fair value and requires the use of observable market data when available. There are three levels of inputs that may be used to measure fair value based on the reliability of inputs, and a financial instrument’s categorization within the fair value hierarchy is based upon the lowest level of input that is significant to the fair value measurement:</w:t>
      </w:r>
    </w:p>
    <w:p>
      <w:pPr>
        <w:pStyle w:val="TextBody"/>
        <w:bidi w:val="0"/>
        <w:spacing w:lineRule="auto" w:line="288" w:before="120" w:after="120"/>
        <w:ind w:left="0" w:right="0" w:firstLine="360"/>
        <w:jc w:val="both"/>
        <w:rPr>
          <w:color w:val="000000"/>
        </w:rPr>
      </w:pPr>
      <w:r>
        <w:rPr>
          <w:color w:val="000000"/>
        </w:rPr>
        <w:t xml:space="preserve">● </w:t>
      </w:r>
      <w:r>
        <w:rPr>
          <w:rFonts w:ascii="Times New Roman;serif" w:hAnsi="Times New Roman;serif"/>
          <w:b w:val="false"/>
          <w:color w:val="000000"/>
          <w:sz w:val="20"/>
        </w:rPr>
        <w:t>Level 1: Quoted market prices in active markets that the reporting entity has the ability to access at the date of the fair value measurement.</w:t>
      </w:r>
    </w:p>
    <w:p>
      <w:pPr>
        <w:pStyle w:val="TextBody"/>
        <w:bidi w:val="0"/>
        <w:spacing w:lineRule="auto" w:line="288" w:before="120" w:after="120"/>
        <w:ind w:left="0" w:right="0" w:firstLine="360"/>
        <w:jc w:val="both"/>
        <w:rPr>
          <w:color w:val="000000"/>
        </w:rPr>
      </w:pPr>
      <w:r>
        <w:rPr>
          <w:color w:val="000000"/>
        </w:rPr>
        <w:t xml:space="preserve">● </w:t>
      </w:r>
      <w:r>
        <w:rPr>
          <w:rFonts w:ascii="Times New Roman;serif" w:hAnsi="Times New Roman;serif"/>
          <w:b w:val="false"/>
          <w:color w:val="000000"/>
          <w:sz w:val="20"/>
        </w:rPr>
        <w:t>Level 2: Inputs other than quoted market prices described in Level 1 that are observable for the asset or liability,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w:t>
      </w:r>
    </w:p>
    <w:p>
      <w:pPr>
        <w:pStyle w:val="TextBody"/>
        <w:bidi w:val="0"/>
        <w:spacing w:lineRule="auto" w:line="288" w:before="120" w:after="120"/>
        <w:ind w:left="0" w:right="0" w:firstLine="360"/>
        <w:jc w:val="both"/>
        <w:rPr>
          <w:color w:val="000000"/>
        </w:rPr>
      </w:pPr>
      <w:r>
        <w:rPr>
          <w:color w:val="000000"/>
        </w:rPr>
        <w:t xml:space="preserve">● </w:t>
      </w:r>
      <w:r>
        <w:rPr>
          <w:rFonts w:ascii="Times New Roman;serif" w:hAnsi="Times New Roman;serif"/>
          <w:b w:val="false"/>
          <w:color w:val="000000"/>
          <w:sz w:val="20"/>
        </w:rPr>
        <w:t>Level 3: Unobservable inputs that are supported by little or no market activity and that are significant to the fair value measurement of the assets or liabilities.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(o) Concentration of credit risk:</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Xanadu to concentration of credit risk principally consist of cash and cash equivalents and accounts receivable. Xanadu’s policy is to place its cash and cash equivalents with major financial institutions to limit the amount of credit exposure. For Xanadu’s accounts receivable and grants receivable, credit risk is dependent upon the financial stability of individual customers or government entity. Xanadu performs ongoing evaluations of its customers’ and grantor’s financial condition and does not have a history of material credit losses. Refer to Note 12 for additional information about Xanadu’s significant customers. Other receivables represent an insignificant part of Xanadu’s financial position.</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(p) Derivative and fair value liabilities: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evaluates its financial instruments, including warrants, earn-outs, forward contracts and put options, to determine if such instruments are derivatives or contain features that qualify as embedded derivatives in accordance with ASC Topic 815 - "Derivatives and Hedging".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standalone and bifurcated embedded derivative financial instruments, the instrument is initially recorded at fair value and re-measured at each reporting date, with changes in fair value reported in the consolidated statement of operations and comprehensive loss. Instruments meeting equity classification requirements are recorded at fair value at issuance and are not subsequently remeasured.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ind w:left="0" w:right="0" w:hanging="1170"/>
        <w:jc w:val="left"/>
        <w:rPr/>
      </w:pPr>
      <w:r>
        <w:rPr>
          <w:rFonts w:ascii="Times New Roman;serif" w:hAnsi="Times New Roman;serif"/>
          <w:b/>
          <w:color w:val="231F20"/>
          <w:sz w:val="20"/>
        </w:rPr>
        <w:t xml:space="preserve">Note 3 - </w:t>
      </w:r>
      <w:r>
        <w:rPr>
          <w:rFonts w:ascii="Times New Roman;serif" w:hAnsi="Times New Roman;serif"/>
          <w:b/>
          <w:color w:val="000000"/>
          <w:sz w:val="20"/>
        </w:rPr>
        <w:t>Reverse Recapitalization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discussed in Note 1, Xanadu entered into the Agreement on November 3, 2025 with SPAC and Old Xanadu. The Reverse Recapitalization closed on March 26, 2026 (the "Closing Date"). At the closing of the transactions contemplated by the Agreement (the "Closing"), Xanadu had three authorized classes of shares, multiple voting shares (“Xanadu Class A Multiple Voting Shares”), subordinate voting shares (“Xanadu Class B Subordinate Voting Shares”) and preferred shares (“Xanadu Preferred Shares”) issuable in series, of which only Xanadu Class A Multiple Voting Shares and Xanadu Class B Subordinate Voting Shares were issued and outstanding.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Immediately prior to the effective time of the Reverse Recapitalization, the following occurred: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16840"/>
                <wp:effectExtent l="0" t="0" r="0" b="0"/>
                <wp:wrapNone/>
                <wp:docPr id="30" name="Frame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19</w:t>
                      </w:r>
                    </w:p>
                  </w:txbxContent>
                </v:textbox>
                <w10:wrap type="none"/>
              </v:rect>
            </w:pict>
          </mc:Fallback>
        </mc:AlternateContent>
      </w:r>
    </w:p>
    <w:p>
      <w:pPr>
        <w:pStyle w:val="TextBody"/>
        <w:bidi w:val="0"/>
        <w:spacing w:lineRule="auto" w:line="288" w:before="0" w:after="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center"/>
        <w:rPr/>
      </w:pPr>
      <w:r>
        <w:rPr>
          <w:rFonts w:ascii="Times New Roman;serif" w:hAnsi="Times New Roman;serif"/>
          <w:b/>
          <w:color w:val="231F20"/>
          <w:sz w:val="20"/>
        </w:rPr>
        <w:t>XANADU</w:t>
      </w:r>
      <w:r>
        <w:rPr>
          <w:color w:val="231F20"/>
        </w:rPr>
        <w:t xml:space="preserve"> </w:t>
      </w:r>
      <w:r>
        <w:rPr>
          <w:rFonts w:ascii="Times New Roman;serif" w:hAnsi="Times New Roman;serif"/>
          <w:b/>
          <w:color w:val="231F20"/>
          <w:sz w:val="20"/>
        </w:rPr>
        <w:t>QUANTUM</w:t>
      </w:r>
      <w:r>
        <w:rPr>
          <w:color w:val="231F20"/>
        </w:rPr>
        <w:t xml:space="preserve"> </w:t>
      </w:r>
      <w:r>
        <w:rPr>
          <w:rFonts w:ascii="Times New Roman;serif" w:hAnsi="Times New Roman;serif"/>
          <w:b/>
          <w:color w:val="231F20"/>
          <w:sz w:val="20"/>
        </w:rPr>
        <w:t>TECHNOLOGIES LIMITED</w:t>
      </w:r>
    </w:p>
    <w:p>
      <w:pPr>
        <w:pStyle w:val="TextBody"/>
        <w:bidi w:val="0"/>
        <w:spacing w:lineRule="auto" w:line="288" w:before="0" w:after="0"/>
        <w:jc w:val="center"/>
        <w:rPr/>
      </w:pPr>
      <w:r>
        <w:rPr>
          <w:rFonts w:ascii="Times New Roman;serif" w:hAnsi="Times New Roman;serif"/>
          <w:b/>
          <w:color w:val="231F20"/>
          <w:sz w:val="20"/>
        </w:rPr>
        <w:t>Notes</w:t>
      </w:r>
      <w:r>
        <w:rPr>
          <w:color w:val="231F20"/>
        </w:rPr>
        <w:t xml:space="preserve"> </w:t>
      </w:r>
      <w:r>
        <w:rPr>
          <w:rFonts w:ascii="Times New Roman;serif" w:hAnsi="Times New Roman;serif"/>
          <w:b/>
          <w:color w:val="231F20"/>
          <w:sz w:val="20"/>
        </w:rPr>
        <w:t>to</w:t>
      </w:r>
      <w:r>
        <w:rPr>
          <w:color w:val="231F20"/>
        </w:rPr>
        <w:t xml:space="preserve"> </w:t>
      </w:r>
      <w:r>
        <w:rPr>
          <w:rFonts w:ascii="Times New Roman;serif" w:hAnsi="Times New Roman;serif"/>
          <w:b/>
          <w:color w:val="231F20"/>
          <w:sz w:val="20"/>
        </w:rPr>
        <w:t>the</w:t>
      </w:r>
      <w:r>
        <w:rPr>
          <w:color w:val="231F20"/>
        </w:rPr>
        <w:t xml:space="preserve"> </w:t>
      </w:r>
      <w:r>
        <w:rPr>
          <w:rFonts w:ascii="Times New Roman;serif" w:hAnsi="Times New Roman;serif"/>
          <w:b/>
          <w:color w:val="231F20"/>
          <w:sz w:val="20"/>
        </w:rPr>
        <w:t>Condensed</w:t>
      </w:r>
      <w:r>
        <w:rPr>
          <w:color w:val="231F20"/>
        </w:rPr>
        <w:t xml:space="preserve"> </w:t>
      </w:r>
      <w:r>
        <w:rPr>
          <w:rFonts w:ascii="Times New Roman;serif" w:hAnsi="Times New Roman;serif"/>
          <w:b/>
          <w:color w:val="231F20"/>
          <w:sz w:val="20"/>
        </w:rPr>
        <w:t>Consolidated</w:t>
      </w:r>
      <w:r>
        <w:rPr>
          <w:color w:val="231F20"/>
        </w:rPr>
        <w:t xml:space="preserve"> </w:t>
      </w:r>
      <w:r>
        <w:rPr>
          <w:rFonts w:ascii="Times New Roman;serif" w:hAnsi="Times New Roman;serif"/>
          <w:b/>
          <w:color w:val="231F20"/>
          <w:sz w:val="20"/>
        </w:rPr>
        <w:t>Financial</w:t>
      </w:r>
      <w:r>
        <w:rPr>
          <w:color w:val="231F20"/>
        </w:rPr>
        <w:t xml:space="preserve"> </w:t>
      </w:r>
      <w:r>
        <w:rPr>
          <w:rFonts w:ascii="Times New Roman;serif" w:hAnsi="Times New Roman;serif"/>
          <w:b/>
          <w:color w:val="231F20"/>
          <w:sz w:val="20"/>
        </w:rPr>
        <w:t xml:space="preserve">Statements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 except for share and per share amounts, ratios or as otherwise noted)</w:t>
      </w:r>
    </w:p>
    <w:p>
      <w:pPr>
        <w:pStyle w:val="TextBody"/>
        <w:bidi w:val="0"/>
        <w:spacing w:lineRule="auto" w:line="288" w:before="120" w:after="120"/>
        <w:ind w:left="0" w:right="0" w:firstLine="90"/>
        <w:jc w:val="both"/>
        <w:rPr/>
      </w:pPr>
      <w:r>
        <w:rPr>
          <w:color w:val="000000"/>
        </w:rPr>
        <w:t>•</w:t>
      </w:r>
      <w:r>
        <w:rPr>
          <w:rFonts w:ascii="Times New Roman;serif" w:hAnsi="Times New Roman;serif"/>
          <w:b w:val="false"/>
          <w:i/>
          <w:color w:val="000000"/>
          <w:sz w:val="20"/>
        </w:rPr>
        <w:t>Preferred Share Exchange:</w:t>
      </w:r>
      <w:r>
        <w:rPr>
          <w:color w:val="000000"/>
        </w:rPr>
        <w:t xml:space="preserve"> </w:t>
      </w:r>
      <w:r>
        <w:rPr>
          <w:rFonts w:ascii="Times New Roman;serif" w:hAnsi="Times New Roman;serif"/>
          <w:b w:val="false"/>
          <w:color w:val="000000"/>
          <w:sz w:val="20"/>
        </w:rPr>
        <w:t>Each then issued and outstanding preferred share in the capital of Old Xanadu was converted into and exchanged for one voting common share in the capital of Old Xanadu (each, an "Old Xanadu Voting Common Share").</w:t>
      </w:r>
    </w:p>
    <w:p>
      <w:pPr>
        <w:pStyle w:val="TextBody"/>
        <w:bidi w:val="0"/>
        <w:spacing w:lineRule="auto" w:line="288" w:before="120" w:after="120"/>
        <w:ind w:left="0" w:right="0" w:firstLine="90"/>
        <w:jc w:val="both"/>
        <w:rPr/>
      </w:pPr>
      <w:r>
        <w:rPr>
          <w:color w:val="000000"/>
        </w:rPr>
        <w:t>•</w:t>
      </w:r>
      <w:r>
        <w:rPr>
          <w:rFonts w:ascii="Times New Roman;serif" w:hAnsi="Times New Roman;serif"/>
          <w:b w:val="false"/>
          <w:i/>
          <w:color w:val="000000"/>
          <w:sz w:val="20"/>
        </w:rPr>
        <w:t>Recapitalization and Share Exchange:</w:t>
      </w:r>
      <w:r>
        <w:rPr>
          <w:color w:val="000000"/>
        </w:rPr>
        <w:t xml:space="preserve"> </w:t>
      </w:r>
      <w:r>
        <w:rPr>
          <w:rFonts w:ascii="Times New Roman;serif" w:hAnsi="Times New Roman;serif"/>
          <w:b w:val="false"/>
          <w:color w:val="000000"/>
          <w:sz w:val="20"/>
        </w:rPr>
        <w:t>Each outstanding Old Xanadu Voting Common Share (including those issued upon the preferred share exchange) was transferred to the Company in exchange for a multiple voting share in the capital of Xanadu (each, a "Xanadu Class A Multiple Voting Share") based on an exchange ratio of 11.28 (the "Exchange Ratio"). Each outstanding non-voting common share in the capital of Old Xanadu (each, an "Old Xanadu Non-Voting Common Share") was transferred to the Company in exchange for a subordinate voting share in the capital of Xanadu (each, a "Xanadu Class B Subordinate Voting Share") based on the same Exchange Ratio.</w:t>
      </w:r>
    </w:p>
    <w:p>
      <w:pPr>
        <w:pStyle w:val="TextBody"/>
        <w:bidi w:val="0"/>
        <w:spacing w:lineRule="auto" w:line="288" w:before="120" w:after="120"/>
        <w:ind w:left="0" w:right="0" w:firstLine="90"/>
        <w:jc w:val="both"/>
        <w:rPr/>
      </w:pPr>
      <w:r>
        <w:rPr>
          <w:color w:val="000000"/>
        </w:rPr>
        <w:t>•</w:t>
      </w:r>
      <w:r>
        <w:rPr>
          <w:rFonts w:ascii="Times New Roman;serif" w:hAnsi="Times New Roman;serif"/>
          <w:b w:val="false"/>
          <w:i/>
          <w:color w:val="000000"/>
          <w:sz w:val="20"/>
        </w:rPr>
        <w:t>Equity Award Exchange:</w:t>
      </w:r>
      <w:r>
        <w:rPr>
          <w:color w:val="000000"/>
        </w:rPr>
        <w:t xml:space="preserve"> </w:t>
      </w:r>
      <w:r>
        <w:rPr>
          <w:rFonts w:ascii="Times New Roman;serif" w:hAnsi="Times New Roman;serif"/>
          <w:b w:val="false"/>
          <w:color w:val="000000"/>
          <w:sz w:val="20"/>
        </w:rPr>
        <w:t xml:space="preserve">Each Old Xanadu voting option outstanding (whether vested or unvested) was exchanged for an option to purchase Xanadu Class A Multiple Voting Shares (each, a “Xanadu Class A Multiple Voting Share Option”). Each Old Xanadu non-voting option outstanding (whether vested or unvested) was exchanged for an option to purchase Xanadu Class B Subordinate Voting Shares (each, a “Xanadu Class B Subordinate Voting Share Option"). The number of Xanadu shares subject to each new option was determined by multiplying the number of Old Xanadu common shares subject to the original option by the Exchange Ratio (rounded down to the nearest whole share). The per-share exercise price for the new options was determined by dividing the prior exercise price by the Exchange Ratio. The strike price was converted from Canadian dollars to U.S. dollars to align with the trading of the Xanadu Class B Subordinate Voting Shares on the Nasdaq market. </w:t>
      </w:r>
    </w:p>
    <w:p>
      <w:pPr>
        <w:pStyle w:val="TextBody"/>
        <w:bidi w:val="0"/>
        <w:spacing w:lineRule="auto" w:line="288" w:before="120" w:after="120"/>
        <w:ind w:left="0" w:right="0" w:firstLine="90"/>
        <w:jc w:val="both"/>
        <w:rPr/>
      </w:pPr>
      <w:r>
        <w:rPr>
          <w:color w:val="000000"/>
        </w:rPr>
        <w:t>•</w:t>
      </w:r>
      <w:r>
        <w:rPr>
          <w:rFonts w:ascii="Times New Roman;serif" w:hAnsi="Times New Roman;serif"/>
          <w:b w:val="false"/>
          <w:i/>
          <w:color w:val="000000"/>
          <w:sz w:val="20"/>
        </w:rPr>
        <w:t>Warrant Exercise and Exchange</w:t>
      </w:r>
      <w:r>
        <w:rPr>
          <w:rFonts w:ascii="Times New Roman;serif" w:hAnsi="Times New Roman;serif"/>
          <w:b w:val="false"/>
          <w:color w:val="000000"/>
          <w:sz w:val="20"/>
        </w:rPr>
        <w:t>: The Old Xanadu SFTrust Warrants and RBC Warrants (each, as defined below) outstanding immediately prior to the closing of the Reverse Recapitalization were exchanged for warrants to purchase Xanadu Class A Multiple Voting Shares ("MVS Warrants") and Xanadu Class B Subordinate Voting Shares ("SVS Warrants") based on the Exchange Ratio and a U.S. dollar denominated strike price. The Old Xanadu SFTrust Warrants were exchanged for warrants exercisable for 383,645 Xanadu Class A Multiple Voting Shares at a price of $0.02 per share and 136,329 Xanadu Class A Multiple Voting Shares at a price of $0.15 per share. Subsequently, on March 30, 2026, holders exercised the SFTrust Warrants on a net basis, resulting in 517,527 of these warrants being exchanged for Xanadu Class A Multiple Voting Shares on a cashless basis. The Old Xanadu RBC Warrants were exchanged for 157,960 warrants to purchase Xanadu Class B Subordinate Voting Shares at a price of $1.15 per share warrants to purchase Xanadu Class B Subordinate Voting Shares. See Note 19.</w:t>
      </w:r>
    </w:p>
    <w:p>
      <w:pPr>
        <w:pStyle w:val="TextBody"/>
        <w:bidi w:val="0"/>
        <w:spacing w:lineRule="auto" w:line="288" w:before="120" w:after="120"/>
        <w:ind w:left="0" w:right="0" w:firstLine="90"/>
        <w:jc w:val="both"/>
        <w:rPr/>
      </w:pPr>
      <w:r>
        <w:rPr>
          <w:color w:val="000000"/>
        </w:rPr>
        <w:t>•</w:t>
      </w:r>
      <w:r>
        <w:rPr>
          <w:rFonts w:ascii="Times New Roman;serif" w:hAnsi="Times New Roman;serif"/>
          <w:b w:val="false"/>
          <w:i/>
          <w:color w:val="000000"/>
          <w:sz w:val="20"/>
        </w:rPr>
        <w:t xml:space="preserve">PIPE Financing: </w:t>
      </w:r>
      <w:r>
        <w:rPr>
          <w:rFonts w:ascii="Times New Roman;serif" w:hAnsi="Times New Roman;serif"/>
          <w:b w:val="false"/>
          <w:color w:val="000000"/>
          <w:sz w:val="20"/>
        </w:rPr>
        <w:t>Xanadu issued and sold 27.5 million Xanadu Class B Subordinate Voting Shares to investors in the PIPE ("PIPE Investors") at a price of $10.00 per share for aggregate gross proceeds of $275,000.</w:t>
      </w:r>
    </w:p>
    <w:p>
      <w:pPr>
        <w:pStyle w:val="TextBody"/>
        <w:bidi w:val="0"/>
        <w:spacing w:lineRule="auto" w:line="288" w:before="120" w:after="120"/>
        <w:ind w:left="0" w:right="0" w:firstLine="90"/>
        <w:jc w:val="both"/>
        <w:rPr/>
      </w:pPr>
      <w:r>
        <w:rPr>
          <w:color w:val="000000"/>
        </w:rPr>
        <w:t>•</w:t>
      </w:r>
      <w:r>
        <w:rPr>
          <w:rFonts w:ascii="Times New Roman;serif" w:hAnsi="Times New Roman;serif"/>
          <w:b w:val="false"/>
          <w:i/>
          <w:color w:val="000000"/>
          <w:sz w:val="20"/>
        </w:rPr>
        <w:t xml:space="preserve">Sponsor Earn-out Shares: </w:t>
      </w:r>
      <w:r>
        <w:rPr>
          <w:rFonts w:ascii="Times New Roman;serif" w:hAnsi="Times New Roman;serif"/>
          <w:b w:val="false"/>
          <w:color w:val="000000"/>
          <w:sz w:val="20"/>
        </w:rPr>
        <w:t>Crane Harbor Sponsor, LLC (the "SPAC Sponsor") subjected 1,100,000 Xanadu Class B Subordinate Voting Shares to an earn-out arrangement ("Earn-out Shares"), which were classified as a liability recognized at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16840"/>
                <wp:effectExtent l="0" t="0" r="0" b="0"/>
                <wp:wrapNone/>
                <wp:docPr id="31" name="Frame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20</w:t>
                      </w:r>
                    </w:p>
                  </w:txbxContent>
                </v:textbox>
                <w10:wrap type="none"/>
              </v:rect>
            </w:pict>
          </mc:Fallback>
        </mc:AlternateContent>
      </w:r>
    </w:p>
    <w:p>
      <w:pPr>
        <w:pStyle w:val="TextBody"/>
        <w:bidi w:val="0"/>
        <w:spacing w:lineRule="auto" w:line="288" w:before="0" w:after="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center"/>
        <w:rPr/>
      </w:pPr>
      <w:r>
        <w:rPr>
          <w:rFonts w:ascii="Times New Roman;serif" w:hAnsi="Times New Roman;serif"/>
          <w:b/>
          <w:color w:val="231F20"/>
          <w:sz w:val="20"/>
        </w:rPr>
        <w:t>XANADU</w:t>
      </w:r>
      <w:r>
        <w:rPr>
          <w:color w:val="231F20"/>
        </w:rPr>
        <w:t xml:space="preserve"> </w:t>
      </w:r>
      <w:r>
        <w:rPr>
          <w:rFonts w:ascii="Times New Roman;serif" w:hAnsi="Times New Roman;serif"/>
          <w:b/>
          <w:color w:val="231F20"/>
          <w:sz w:val="20"/>
        </w:rPr>
        <w:t>QUANTUM</w:t>
      </w:r>
      <w:r>
        <w:rPr>
          <w:color w:val="231F20"/>
        </w:rPr>
        <w:t xml:space="preserve"> </w:t>
      </w:r>
      <w:r>
        <w:rPr>
          <w:rFonts w:ascii="Times New Roman;serif" w:hAnsi="Times New Roman;serif"/>
          <w:b/>
          <w:color w:val="231F20"/>
          <w:sz w:val="20"/>
        </w:rPr>
        <w:t>TECHNOLOGIES LIMITED</w:t>
      </w:r>
    </w:p>
    <w:p>
      <w:pPr>
        <w:pStyle w:val="TextBody"/>
        <w:bidi w:val="0"/>
        <w:spacing w:lineRule="auto" w:line="288" w:before="0" w:after="0"/>
        <w:jc w:val="center"/>
        <w:rPr/>
      </w:pPr>
      <w:r>
        <w:rPr>
          <w:rFonts w:ascii="Times New Roman;serif" w:hAnsi="Times New Roman;serif"/>
          <w:b/>
          <w:color w:val="231F20"/>
          <w:sz w:val="20"/>
        </w:rPr>
        <w:t>Notes</w:t>
      </w:r>
      <w:r>
        <w:rPr>
          <w:color w:val="231F20"/>
        </w:rPr>
        <w:t xml:space="preserve"> </w:t>
      </w:r>
      <w:r>
        <w:rPr>
          <w:rFonts w:ascii="Times New Roman;serif" w:hAnsi="Times New Roman;serif"/>
          <w:b/>
          <w:color w:val="231F20"/>
          <w:sz w:val="20"/>
        </w:rPr>
        <w:t>to</w:t>
      </w:r>
      <w:r>
        <w:rPr>
          <w:color w:val="231F20"/>
        </w:rPr>
        <w:t xml:space="preserve"> </w:t>
      </w:r>
      <w:r>
        <w:rPr>
          <w:rFonts w:ascii="Times New Roman;serif" w:hAnsi="Times New Roman;serif"/>
          <w:b/>
          <w:color w:val="231F20"/>
          <w:sz w:val="20"/>
        </w:rPr>
        <w:t>the</w:t>
      </w:r>
      <w:r>
        <w:rPr>
          <w:color w:val="231F20"/>
        </w:rPr>
        <w:t xml:space="preserve"> </w:t>
      </w:r>
      <w:r>
        <w:rPr>
          <w:rFonts w:ascii="Times New Roman;serif" w:hAnsi="Times New Roman;serif"/>
          <w:b/>
          <w:color w:val="231F20"/>
          <w:sz w:val="20"/>
        </w:rPr>
        <w:t>Condensed</w:t>
      </w:r>
      <w:r>
        <w:rPr>
          <w:color w:val="231F20"/>
        </w:rPr>
        <w:t xml:space="preserve"> </w:t>
      </w:r>
      <w:r>
        <w:rPr>
          <w:rFonts w:ascii="Times New Roman;serif" w:hAnsi="Times New Roman;serif"/>
          <w:b/>
          <w:color w:val="231F20"/>
          <w:sz w:val="20"/>
        </w:rPr>
        <w:t>Consolidated</w:t>
      </w:r>
      <w:r>
        <w:rPr>
          <w:color w:val="231F20"/>
        </w:rPr>
        <w:t xml:space="preserve"> </w:t>
      </w:r>
      <w:r>
        <w:rPr>
          <w:rFonts w:ascii="Times New Roman;serif" w:hAnsi="Times New Roman;serif"/>
          <w:b/>
          <w:color w:val="231F20"/>
          <w:sz w:val="20"/>
        </w:rPr>
        <w:t>Financial</w:t>
      </w:r>
      <w:r>
        <w:rPr>
          <w:color w:val="231F20"/>
        </w:rPr>
        <w:t xml:space="preserve"> </w:t>
      </w:r>
      <w:r>
        <w:rPr>
          <w:rFonts w:ascii="Times New Roman;serif" w:hAnsi="Times New Roman;serif"/>
          <w:b/>
          <w:color w:val="231F20"/>
          <w:sz w:val="20"/>
        </w:rPr>
        <w:t xml:space="preserve">Statements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 except for share and per share amounts, ratios or as otherwise noted)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Below are the shares outstanding immediately following the Reverse Recapitalization and PIPE investment:</w:t>
      </w:r>
    </w:p>
    <w:tbl>
      <w:tblPr>
        <w:tblW w:w="7302" w:type="dxa"/>
        <w:jc w:val="left"/>
        <w:tblInd w:w="0" w:type="dxa"/>
        <w:tblLayout w:type="fixed"/>
        <w:tblCellMar>
          <w:top w:w="28" w:type="dxa"/>
          <w:left w:w="28" w:type="dxa"/>
          <w:bottom w:w="28" w:type="dxa"/>
          <w:right w:w="28" w:type="dxa"/>
        </w:tblCellMar>
      </w:tblPr>
      <w:tblGrid>
        <w:gridCol w:w="1391"/>
        <w:gridCol w:w="1223"/>
        <w:gridCol w:w="1226"/>
        <w:gridCol w:w="109"/>
        <w:gridCol w:w="109"/>
        <w:gridCol w:w="109"/>
        <w:gridCol w:w="593"/>
        <w:gridCol w:w="593"/>
        <w:gridCol w:w="226"/>
        <w:gridCol w:w="109"/>
        <w:gridCol w:w="109"/>
        <w:gridCol w:w="109"/>
        <w:gridCol w:w="307"/>
        <w:gridCol w:w="309"/>
        <w:gridCol w:w="626"/>
        <w:gridCol w:w="154"/>
      </w:tblGrid>
      <w:tr>
        <w:trPr/>
        <w:tc>
          <w:tcPr>
            <w:tcW w:w="139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lineRule="auto" w:line="240" w:before="17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170" w:after="283"/>
              <w:jc w:val="center"/>
              <w:rPr>
                <w:rFonts w:ascii="Times New Roman;serif" w:hAnsi="Times New Roman;serif"/>
                <w:b/>
                <w:color w:val="000000"/>
                <w:sz w:val="20"/>
              </w:rPr>
            </w:pPr>
            <w:r>
              <w:rPr>
                <w:rFonts w:ascii="Times New Roman;serif" w:hAnsi="Times New Roman;serif"/>
                <w:b/>
                <w:color w:val="000000"/>
                <w:sz w:val="20"/>
              </w:rPr>
              <w:t>% of Voting</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170" w:after="283"/>
              <w:jc w:val="left"/>
              <w:rPr>
                <w:rFonts w:ascii="Times New Roman;serif" w:hAnsi="Times New Roman;serif"/>
                <w:b w:val="false"/>
                <w:color w:val="000000"/>
                <w:sz w:val="20"/>
              </w:rPr>
            </w:pPr>
            <w:r>
              <w:rPr>
                <w:rFonts w:ascii="Times New Roman;serif" w:hAnsi="Times New Roman;serif"/>
                <w:b w:val="false"/>
                <w:color w:val="000000"/>
                <w:sz w:val="20"/>
              </w:rPr>
              <w:t>Old Xanadu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color w:val="000000"/>
                <w:sz w:val="20"/>
              </w:rPr>
            </w:pPr>
            <w:r>
              <w:rPr>
                <w:rFonts w:ascii="Times New Roman;serif" w:hAnsi="Times New Roman;serif"/>
                <w:b w:val="false"/>
                <w:color w:val="000000"/>
                <w:sz w:val="20"/>
              </w:rPr>
              <w:t>257,684,899 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170" w:after="283"/>
              <w:jc w:val="left"/>
              <w:rPr>
                <w:rFonts w:ascii="Times New Roman;serif" w:hAnsi="Times New Roman;serif"/>
                <w:b w:val="false"/>
                <w:color w:val="000000"/>
                <w:sz w:val="20"/>
              </w:rPr>
            </w:pPr>
            <w:r>
              <w:rPr>
                <w:rFonts w:ascii="Times New Roman;serif" w:hAnsi="Times New Roman;serif"/>
                <w:b w:val="false"/>
                <w:color w:val="000000"/>
                <w:sz w:val="20"/>
              </w:rPr>
              <w:t>PIPE Investors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color w:val="000000"/>
                <w:sz w:val="20"/>
              </w:rPr>
            </w:pPr>
            <w:r>
              <w:rPr>
                <w:rFonts w:ascii="Times New Roman;serif" w:hAnsi="Times New Roman;serif"/>
                <w:b w:val="false"/>
                <w:color w:val="000000"/>
                <w:sz w:val="20"/>
              </w:rPr>
              <w:t>27,500,000 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170" w:after="283"/>
              <w:jc w:val="left"/>
              <w:rPr>
                <w:rFonts w:ascii="Times New Roman;serif" w:hAnsi="Times New Roman;serif"/>
                <w:b w:val="false"/>
                <w:color w:val="000000"/>
                <w:sz w:val="20"/>
              </w:rPr>
            </w:pPr>
            <w:r>
              <w:rPr>
                <w:rFonts w:ascii="Times New Roman;serif" w:hAnsi="Times New Roman;serif"/>
                <w:b w:val="false"/>
                <w:color w:val="000000"/>
                <w:sz w:val="20"/>
              </w:rPr>
              <w:t>SPAC Public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color w:val="000000"/>
                <w:sz w:val="20"/>
              </w:rPr>
            </w:pPr>
            <w:r>
              <w:rPr>
                <w:rFonts w:ascii="Times New Roman;serif" w:hAnsi="Times New Roman;serif"/>
                <w:b w:val="false"/>
                <w:color w:val="000000"/>
                <w:sz w:val="20"/>
              </w:rPr>
              <w:t>3,211,605 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170" w:after="283"/>
              <w:jc w:val="left"/>
              <w:rPr>
                <w:rFonts w:ascii="Times New Roman;serif" w:hAnsi="Times New Roman;serif"/>
                <w:b w:val="false"/>
                <w:color w:val="000000"/>
                <w:sz w:val="20"/>
              </w:rPr>
            </w:pPr>
            <w:r>
              <w:rPr>
                <w:rFonts w:ascii="Times New Roman;serif" w:hAnsi="Times New Roman;serif"/>
                <w:b w:val="false"/>
                <w:color w:val="000000"/>
                <w:sz w:val="20"/>
              </w:rPr>
              <w:t>SPAC Private Placement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color w:val="000000"/>
                <w:sz w:val="20"/>
              </w:rPr>
            </w:pPr>
            <w:r>
              <w:rPr>
                <w:rFonts w:ascii="Times New Roman;serif" w:hAnsi="Times New Roman;serif"/>
                <w:b w:val="false"/>
                <w:color w:val="000000"/>
                <w:sz w:val="20"/>
              </w:rPr>
              <w:t>2,264,000 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170" w:after="283"/>
              <w:jc w:val="left"/>
              <w:rPr/>
            </w:pPr>
            <w:r>
              <w:rPr>
                <w:rFonts w:ascii="Times New Roman;serif" w:hAnsi="Times New Roman;serif"/>
                <w:b w:val="false"/>
                <w:color w:val="000000"/>
                <w:sz w:val="20"/>
              </w:rPr>
              <w:t xml:space="preserve">SPAC Sponsor Shares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color w:val="000000"/>
                <w:sz w:val="20"/>
              </w:rPr>
            </w:pPr>
            <w:r>
              <w:rPr>
                <w:rFonts w:ascii="Times New Roman;serif" w:hAnsi="Times New Roman;serif"/>
                <w:b w:val="false"/>
                <w:color w:val="000000"/>
                <w:sz w:val="20"/>
              </w:rPr>
              <w:t>7,333,333 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170" w:after="283"/>
              <w:jc w:val="left"/>
              <w:rPr>
                <w:rFonts w:ascii="Times New Roman;serif" w:hAnsi="Times New Roman;serif"/>
                <w:b w:val="false"/>
                <w:color w:val="000000"/>
                <w:sz w:val="20"/>
              </w:rPr>
            </w:pPr>
            <w:r>
              <w:rPr>
                <w:rFonts w:ascii="Times New Roman;serif" w:hAnsi="Times New Roman;serif"/>
                <w:b w:val="false"/>
                <w:color w:val="000000"/>
                <w:sz w:val="20"/>
              </w:rPr>
              <w:t>Total Common Shares by Shareholder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color w:val="000000"/>
                <w:sz w:val="20"/>
              </w:rPr>
            </w:pPr>
            <w:r>
              <w:rPr>
                <w:rFonts w:ascii="Times New Roman;serif" w:hAnsi="Times New Roman;serif"/>
                <w:b w:val="false"/>
                <w:color w:val="000000"/>
                <w:sz w:val="20"/>
              </w:rPr>
              <w:t>297,993,837 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170" w:after="283"/>
              <w:jc w:val="left"/>
              <w:rPr>
                <w:rFonts w:ascii="Times New Roman;serif" w:hAnsi="Times New Roman;serif"/>
                <w:b w:val="false"/>
                <w:color w:val="000000"/>
                <w:sz w:val="20"/>
              </w:rPr>
            </w:pPr>
            <w:r>
              <w:rPr>
                <w:rFonts w:ascii="Times New Roman;serif" w:hAnsi="Times New Roman;serif"/>
                <w:b w:val="false"/>
                <w:color w:val="000000"/>
                <w:sz w:val="20"/>
              </w:rPr>
              <w:t>Xanadu Class A Multiple Voting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color w:val="000000"/>
                <w:sz w:val="20"/>
              </w:rPr>
            </w:pPr>
            <w:r>
              <w:rPr>
                <w:rFonts w:ascii="Times New Roman;serif" w:hAnsi="Times New Roman;serif"/>
                <w:b w:val="false"/>
                <w:color w:val="000000"/>
                <w:sz w:val="20"/>
              </w:rPr>
              <w:t>254,709,401 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170" w:after="283"/>
              <w:jc w:val="left"/>
              <w:rPr/>
            </w:pPr>
            <w:r>
              <w:rPr>
                <w:rFonts w:ascii="Times New Roman;serif" w:hAnsi="Times New Roman;serif"/>
                <w:b w:val="false"/>
                <w:color w:val="000000"/>
                <w:sz w:val="20"/>
              </w:rPr>
              <w:t xml:space="preserve">Xanadu Class B Subordinate Voting Shares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color w:val="000000"/>
                <w:sz w:val="20"/>
              </w:rPr>
            </w:pPr>
            <w:r>
              <w:rPr>
                <w:rFonts w:ascii="Times New Roman;serif" w:hAnsi="Times New Roman;serif"/>
                <w:b w:val="false"/>
                <w:color w:val="000000"/>
                <w:sz w:val="20"/>
              </w:rPr>
              <w:t>43,284,436 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170" w:after="283"/>
              <w:jc w:val="left"/>
              <w:rPr>
                <w:rFonts w:ascii="Times New Roman;serif" w:hAnsi="Times New Roman;serif"/>
                <w:b w:val="false"/>
                <w:color w:val="000000"/>
                <w:sz w:val="20"/>
              </w:rPr>
            </w:pPr>
            <w:r>
              <w:rPr>
                <w:rFonts w:ascii="Times New Roman;serif" w:hAnsi="Times New Roman;serif"/>
                <w:b w:val="false"/>
                <w:color w:val="000000"/>
                <w:sz w:val="20"/>
              </w:rPr>
              <w:t>Total Common Shares by 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color w:val="000000"/>
                <w:sz w:val="20"/>
              </w:rPr>
            </w:pPr>
            <w:r>
              <w:rPr>
                <w:rFonts w:ascii="Times New Roman;serif" w:hAnsi="Times New Roman;serif"/>
                <w:b w:val="false"/>
                <w:color w:val="000000"/>
                <w:sz w:val="20"/>
              </w:rPr>
              <w:t>297,993,837 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Includes 1,100,000 Earn-out Shares subject to forfeiture as of the closing of the Reverse Recapitalization on March 26, 2026. Refer to the section below for additional information. </w:t>
      </w:r>
    </w:p>
    <w:p>
      <w:pPr>
        <w:pStyle w:val="TextBody"/>
        <w:bidi w:val="0"/>
        <w:spacing w:lineRule="auto" w:line="240" w:before="17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Shares on a fully-diluted basis immediately following the Reverse Recapitalization and PIPE investment were: </w:t>
      </w:r>
    </w:p>
    <w:tbl>
      <w:tblPr>
        <w:tblW w:w="6656" w:type="dxa"/>
        <w:jc w:val="left"/>
        <w:tblInd w:w="0" w:type="dxa"/>
        <w:tblLayout w:type="fixed"/>
        <w:tblCellMar>
          <w:top w:w="28" w:type="dxa"/>
          <w:left w:w="28" w:type="dxa"/>
          <w:bottom w:w="28" w:type="dxa"/>
          <w:right w:w="28" w:type="dxa"/>
        </w:tblCellMar>
      </w:tblPr>
      <w:tblGrid>
        <w:gridCol w:w="1157"/>
        <w:gridCol w:w="1017"/>
        <w:gridCol w:w="1020"/>
        <w:gridCol w:w="109"/>
        <w:gridCol w:w="109"/>
        <w:gridCol w:w="109"/>
        <w:gridCol w:w="593"/>
        <w:gridCol w:w="593"/>
        <w:gridCol w:w="226"/>
        <w:gridCol w:w="109"/>
        <w:gridCol w:w="109"/>
        <w:gridCol w:w="109"/>
        <w:gridCol w:w="307"/>
        <w:gridCol w:w="309"/>
        <w:gridCol w:w="626"/>
        <w:gridCol w:w="154"/>
      </w:tblGrid>
      <w:tr>
        <w:trPr/>
        <w:tc>
          <w:tcPr>
            <w:tcW w:w="115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lineRule="auto" w:line="240" w:before="17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170" w:after="283"/>
              <w:jc w:val="center"/>
              <w:rPr>
                <w:rFonts w:ascii="Times New Roman;serif" w:hAnsi="Times New Roman;serif"/>
                <w:b/>
                <w:color w:val="000000"/>
                <w:sz w:val="20"/>
              </w:rPr>
            </w:pPr>
            <w:r>
              <w:rPr>
                <w:rFonts w:ascii="Times New Roman;serif" w:hAnsi="Times New Roman;serif"/>
                <w:b/>
                <w:color w:val="000000"/>
                <w:sz w:val="20"/>
              </w:rPr>
              <w:t>% of Voting</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170" w:after="283"/>
              <w:jc w:val="left"/>
              <w:rPr>
                <w:rFonts w:ascii="Times New Roman;serif" w:hAnsi="Times New Roman;serif"/>
                <w:b w:val="false"/>
                <w:color w:val="000000"/>
                <w:sz w:val="20"/>
              </w:rPr>
            </w:pPr>
            <w:r>
              <w:rPr>
                <w:rFonts w:ascii="Times New Roman;serif" w:hAnsi="Times New Roman;serif"/>
                <w:b w:val="false"/>
                <w:color w:val="000000"/>
                <w:sz w:val="20"/>
              </w:rPr>
              <w:t>Old Xanadu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color w:val="000000"/>
                <w:sz w:val="20"/>
              </w:rPr>
            </w:pPr>
            <w:r>
              <w:rPr>
                <w:rFonts w:ascii="Times New Roman;serif" w:hAnsi="Times New Roman;serif"/>
                <w:b w:val="false"/>
                <w:color w:val="000000"/>
                <w:sz w:val="20"/>
              </w:rPr>
              <w:t>257,684,899 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170" w:after="283"/>
              <w:jc w:val="left"/>
              <w:rPr>
                <w:rFonts w:ascii="Times New Roman;serif" w:hAnsi="Times New Roman;serif"/>
                <w:b w:val="false"/>
                <w:color w:val="000000"/>
                <w:sz w:val="20"/>
              </w:rPr>
            </w:pPr>
            <w:r>
              <w:rPr>
                <w:rFonts w:ascii="Times New Roman;serif" w:hAnsi="Times New Roman;serif"/>
                <w:b w:val="false"/>
                <w:color w:val="000000"/>
                <w:sz w:val="20"/>
              </w:rPr>
              <w:t>Old Xanadu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color w:val="000000"/>
                <w:sz w:val="20"/>
              </w:rPr>
            </w:pPr>
            <w:r>
              <w:rPr>
                <w:rFonts w:ascii="Times New Roman;serif" w:hAnsi="Times New Roman;serif"/>
                <w:b w:val="false"/>
                <w:color w:val="000000"/>
                <w:sz w:val="20"/>
              </w:rPr>
              <w:t>47,360,480 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170" w:after="283"/>
              <w:jc w:val="left"/>
              <w:rPr>
                <w:rFonts w:ascii="Times New Roman;serif" w:hAnsi="Times New Roman;serif"/>
                <w:b w:val="false"/>
                <w:color w:val="000000"/>
                <w:sz w:val="20"/>
              </w:rPr>
            </w:pPr>
            <w:r>
              <w:rPr>
                <w:rFonts w:ascii="Times New Roman;serif" w:hAnsi="Times New Roman;serif"/>
                <w:b w:val="false"/>
                <w:color w:val="000000"/>
                <w:sz w:val="20"/>
              </w:rPr>
              <w:t>Old Xanadu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color w:val="000000"/>
                <w:sz w:val="20"/>
              </w:rPr>
            </w:pPr>
            <w:r>
              <w:rPr>
                <w:rFonts w:ascii="Times New Roman;serif" w:hAnsi="Times New Roman;serif"/>
                <w:b w:val="false"/>
                <w:color w:val="000000"/>
                <w:sz w:val="20"/>
              </w:rPr>
              <w:t>677,934 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170" w:after="283"/>
              <w:jc w:val="left"/>
              <w:rPr>
                <w:rFonts w:ascii="Times New Roman;serif" w:hAnsi="Times New Roman;serif"/>
                <w:b w:val="false"/>
                <w:color w:val="000000"/>
                <w:sz w:val="20"/>
              </w:rPr>
            </w:pPr>
            <w:r>
              <w:rPr>
                <w:rFonts w:ascii="Times New Roman;serif" w:hAnsi="Times New Roman;serif"/>
                <w:b w:val="false"/>
                <w:color w:val="000000"/>
                <w:sz w:val="20"/>
              </w:rPr>
              <w:t>PIPE Investors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color w:val="000000"/>
                <w:sz w:val="20"/>
              </w:rPr>
            </w:pPr>
            <w:r>
              <w:rPr>
                <w:rFonts w:ascii="Times New Roman;serif" w:hAnsi="Times New Roman;serif"/>
                <w:b w:val="false"/>
                <w:color w:val="000000"/>
                <w:sz w:val="20"/>
              </w:rPr>
              <w:t>27,500,000 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170" w:after="283"/>
              <w:jc w:val="left"/>
              <w:rPr>
                <w:rFonts w:ascii="Times New Roman;serif" w:hAnsi="Times New Roman;serif"/>
                <w:b w:val="false"/>
                <w:color w:val="000000"/>
                <w:sz w:val="20"/>
              </w:rPr>
            </w:pPr>
            <w:r>
              <w:rPr>
                <w:rFonts w:ascii="Times New Roman;serif" w:hAnsi="Times New Roman;serif"/>
                <w:b w:val="false"/>
                <w:color w:val="000000"/>
                <w:sz w:val="20"/>
              </w:rPr>
              <w:t>SPAC Public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color w:val="000000"/>
                <w:sz w:val="20"/>
              </w:rPr>
            </w:pPr>
            <w:r>
              <w:rPr>
                <w:rFonts w:ascii="Times New Roman;serif" w:hAnsi="Times New Roman;serif"/>
                <w:b w:val="false"/>
                <w:color w:val="000000"/>
                <w:sz w:val="20"/>
              </w:rPr>
              <w:t>3,211,605 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170" w:after="283"/>
              <w:jc w:val="left"/>
              <w:rPr>
                <w:rFonts w:ascii="Times New Roman;serif" w:hAnsi="Times New Roman;serif"/>
                <w:b w:val="false"/>
                <w:color w:val="000000"/>
                <w:sz w:val="20"/>
              </w:rPr>
            </w:pPr>
            <w:r>
              <w:rPr>
                <w:rFonts w:ascii="Times New Roman;serif" w:hAnsi="Times New Roman;serif"/>
                <w:b w:val="false"/>
                <w:color w:val="000000"/>
                <w:sz w:val="20"/>
              </w:rPr>
              <w:t>SPAC Private Placement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color w:val="000000"/>
                <w:sz w:val="20"/>
              </w:rPr>
            </w:pPr>
            <w:r>
              <w:rPr>
                <w:rFonts w:ascii="Times New Roman;serif" w:hAnsi="Times New Roman;serif"/>
                <w:b w:val="false"/>
                <w:color w:val="000000"/>
                <w:sz w:val="20"/>
              </w:rPr>
              <w:t>2,264,000 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170" w:after="283"/>
              <w:jc w:val="left"/>
              <w:rPr/>
            </w:pPr>
            <w:r>
              <w:rPr>
                <w:rFonts w:ascii="Times New Roman;serif" w:hAnsi="Times New Roman;serif"/>
                <w:b w:val="false"/>
                <w:color w:val="000000"/>
                <w:sz w:val="20"/>
              </w:rPr>
              <w:t xml:space="preserve">SPAC Sponsor Shares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color w:val="000000"/>
                <w:sz w:val="20"/>
              </w:rPr>
            </w:pPr>
            <w:r>
              <w:rPr>
                <w:rFonts w:ascii="Times New Roman;serif" w:hAnsi="Times New Roman;serif"/>
                <w:b w:val="false"/>
                <w:color w:val="000000"/>
                <w:sz w:val="20"/>
              </w:rPr>
              <w:t>7,333,333 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170" w:after="283"/>
              <w:jc w:val="left"/>
              <w:rPr>
                <w:rFonts w:ascii="Times New Roman;serif" w:hAnsi="Times New Roman;serif"/>
                <w:b w:val="false"/>
                <w:color w:val="000000"/>
                <w:sz w:val="20"/>
              </w:rPr>
            </w:pPr>
            <w:r>
              <w:rPr>
                <w:rFonts w:ascii="Times New Roman;serif" w:hAnsi="Times New Roman;serif"/>
                <w:b w:val="false"/>
                <w:color w:val="000000"/>
                <w:sz w:val="20"/>
              </w:rPr>
              <w:t>Total Fully Diluted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color w:val="000000"/>
                <w:sz w:val="20"/>
              </w:rPr>
            </w:pPr>
            <w:r>
              <w:rPr>
                <w:rFonts w:ascii="Times New Roman;serif" w:hAnsi="Times New Roman;serif"/>
                <w:b w:val="false"/>
                <w:color w:val="000000"/>
                <w:sz w:val="20"/>
              </w:rPr>
              <w:t>346,032,251 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Includes 1,100,000 Earn-out Shares subject to forfeiture as of the closing of the Reverse Recapitalization on March 26, 2026. Refer to the section below for additional information.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Gross proceeds from the Reverse Recapitalization were $301,646, which included $275,000 of PIPE financing and $26,646 from SPAC's trust account. The Company incurred $52,157 in total costs related to the Reverse Recapitalization and PIPE financing, of which $37,915 were costs directly related to the issuance of shares, of which $1,264 was allocated to the issuance of the Earn Out Shares, and thus expensed to the consolidated statement of operations and comprehensive loss, and the remaining $36,651 was recorded against share capital. These direct transaction costs consist primarily of legal, accounting, advisory, and other professional fees and were deducted from proceeds of the Reverse Recapitalization and PIPE financing, the net of which is recorded in common shares on the consolidated balance sheet. Total indirect and incremental transaction costs resulting from the Reverse Recapitalization were $15,506 of which $5,465 was expensed to the consolidated statement of operations and comprehensive loss during the three months ended March 31, 2026.</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Reverse Recapitalization was accounted for as a reverse recapitalization in accordance with U.S. GAAP. Under this method of accounting, SPAC was treated as the 'acquired' company and Old Xanadu was treated as the accounting acquirer for financial reporting purposes. Accordingly, the consolidated financial statements represent the continuation of the financial statements of Old Xanadu, with the Reverse Recapitalization being treated as the equivalent of Xanadu issuing shares for the net assets of SPAC, accompanied by a recapitalization. The net assets of SPAC are stated at historical cost, with no goodwill or other intangible assets recorded. Historical retained earnings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16840"/>
                <wp:effectExtent l="0" t="0" r="0" b="0"/>
                <wp:wrapNone/>
                <wp:docPr id="32" name="Frame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21</w:t>
                      </w:r>
                    </w:p>
                  </w:txbxContent>
                </v:textbox>
                <w10:wrap type="none"/>
              </v:rect>
            </w:pict>
          </mc:Fallback>
        </mc:AlternateContent>
      </w:r>
    </w:p>
    <w:p>
      <w:pPr>
        <w:pStyle w:val="TextBody"/>
        <w:bidi w:val="0"/>
        <w:spacing w:lineRule="auto" w:line="288" w:before="0" w:after="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center"/>
        <w:rPr/>
      </w:pPr>
      <w:r>
        <w:rPr>
          <w:rFonts w:ascii="Times New Roman;serif" w:hAnsi="Times New Roman;serif"/>
          <w:b/>
          <w:color w:val="231F20"/>
          <w:sz w:val="20"/>
        </w:rPr>
        <w:t>XANADU</w:t>
      </w:r>
      <w:r>
        <w:rPr>
          <w:color w:val="231F20"/>
        </w:rPr>
        <w:t xml:space="preserve"> </w:t>
      </w:r>
      <w:r>
        <w:rPr>
          <w:rFonts w:ascii="Times New Roman;serif" w:hAnsi="Times New Roman;serif"/>
          <w:b/>
          <w:color w:val="231F20"/>
          <w:sz w:val="20"/>
        </w:rPr>
        <w:t>QUANTUM</w:t>
      </w:r>
      <w:r>
        <w:rPr>
          <w:color w:val="231F20"/>
        </w:rPr>
        <w:t xml:space="preserve"> </w:t>
      </w:r>
      <w:r>
        <w:rPr>
          <w:rFonts w:ascii="Times New Roman;serif" w:hAnsi="Times New Roman;serif"/>
          <w:b/>
          <w:color w:val="231F20"/>
          <w:sz w:val="20"/>
        </w:rPr>
        <w:t>TECHNOLOGIES LIMITED</w:t>
      </w:r>
    </w:p>
    <w:p>
      <w:pPr>
        <w:pStyle w:val="TextBody"/>
        <w:bidi w:val="0"/>
        <w:spacing w:lineRule="auto" w:line="288" w:before="0" w:after="0"/>
        <w:jc w:val="center"/>
        <w:rPr/>
      </w:pPr>
      <w:r>
        <w:rPr>
          <w:rFonts w:ascii="Times New Roman;serif" w:hAnsi="Times New Roman;serif"/>
          <w:b/>
          <w:color w:val="231F20"/>
          <w:sz w:val="20"/>
        </w:rPr>
        <w:t>Notes</w:t>
      </w:r>
      <w:r>
        <w:rPr>
          <w:color w:val="231F20"/>
        </w:rPr>
        <w:t xml:space="preserve"> </w:t>
      </w:r>
      <w:r>
        <w:rPr>
          <w:rFonts w:ascii="Times New Roman;serif" w:hAnsi="Times New Roman;serif"/>
          <w:b/>
          <w:color w:val="231F20"/>
          <w:sz w:val="20"/>
        </w:rPr>
        <w:t>to</w:t>
      </w:r>
      <w:r>
        <w:rPr>
          <w:color w:val="231F20"/>
        </w:rPr>
        <w:t xml:space="preserve"> </w:t>
      </w:r>
      <w:r>
        <w:rPr>
          <w:rFonts w:ascii="Times New Roman;serif" w:hAnsi="Times New Roman;serif"/>
          <w:b/>
          <w:color w:val="231F20"/>
          <w:sz w:val="20"/>
        </w:rPr>
        <w:t>the</w:t>
      </w:r>
      <w:r>
        <w:rPr>
          <w:color w:val="231F20"/>
        </w:rPr>
        <w:t xml:space="preserve"> </w:t>
      </w:r>
      <w:r>
        <w:rPr>
          <w:rFonts w:ascii="Times New Roman;serif" w:hAnsi="Times New Roman;serif"/>
          <w:b/>
          <w:color w:val="231F20"/>
          <w:sz w:val="20"/>
        </w:rPr>
        <w:t>Condensed</w:t>
      </w:r>
      <w:r>
        <w:rPr>
          <w:color w:val="231F20"/>
        </w:rPr>
        <w:t xml:space="preserve"> </w:t>
      </w:r>
      <w:r>
        <w:rPr>
          <w:rFonts w:ascii="Times New Roman;serif" w:hAnsi="Times New Roman;serif"/>
          <w:b/>
          <w:color w:val="231F20"/>
          <w:sz w:val="20"/>
        </w:rPr>
        <w:t>Consolidated</w:t>
      </w:r>
      <w:r>
        <w:rPr>
          <w:color w:val="231F20"/>
        </w:rPr>
        <w:t xml:space="preserve"> </w:t>
      </w:r>
      <w:r>
        <w:rPr>
          <w:rFonts w:ascii="Times New Roman;serif" w:hAnsi="Times New Roman;serif"/>
          <w:b/>
          <w:color w:val="231F20"/>
          <w:sz w:val="20"/>
        </w:rPr>
        <w:t>Financial</w:t>
      </w:r>
      <w:r>
        <w:rPr>
          <w:color w:val="231F20"/>
        </w:rPr>
        <w:t xml:space="preserve"> </w:t>
      </w:r>
      <w:r>
        <w:rPr>
          <w:rFonts w:ascii="Times New Roman;serif" w:hAnsi="Times New Roman;serif"/>
          <w:b/>
          <w:color w:val="231F20"/>
          <w:sz w:val="20"/>
        </w:rPr>
        <w:t xml:space="preserve">Statements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 except for share and per share amounts, ratios or as otherwise noted)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(accumulated deficit) were carried forward following completion of the Reverse Recapitalization and the shareholder's equity of Xanadu is presented based on historical equity of Old Xanadu, recast to reflect that Reverse Recapitalization.</w:t>
      </w:r>
    </w:p>
    <w:p>
      <w:pPr>
        <w:pStyle w:val="TextBody"/>
        <w:bidi w:val="0"/>
        <w:spacing w:lineRule="auto" w:line="240" w:before="170" w:after="283"/>
        <w:jc w:val="both"/>
        <w:rPr>
          <w:rFonts w:ascii="Times New Roman;serif" w:hAnsi="Times New Roman;serif"/>
          <w:b/>
          <w:i/>
          <w:color w:val="000000"/>
          <w:sz w:val="20"/>
        </w:rPr>
      </w:pPr>
      <w:r>
        <w:rPr>
          <w:rFonts w:ascii="Times New Roman;serif" w:hAnsi="Times New Roman;serif"/>
          <w:b/>
          <w:i/>
          <w:color w:val="000000"/>
          <w:sz w:val="20"/>
        </w:rPr>
        <w:t>Earn-Out Shares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Reverse Recapitalization, the SPAC Sponsor was the holder of 7,333,333 Class B shares in SPAC (the "SPAC Class B Shares"). Pursuant to the terms of the Plan of Arrangement, the SPAC Class B Shares were exchanged for Xanadu Class B Subordinate Voting Shares. The SPAC Sponsor subjected 1,100,000 Xanadu Class B Subordinate Voting Shares it received in the transactions contemplated by the Reverse Recapitalization, to an earn-out based on the price of the Xanadu Class B Subordinate Voting Shares as follows: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Closing, at any time during the period following the Closing and expiring on the fourth anniversary of the Closing Date (the “Vesting Term”),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 550,000 of the Earn-Out Shares shall be forfeited by the SPAC Sponsor for no consideration if the share price of Xanadu Class B Subordinate Voting Shares is not at least $12.50 per Xanadu Class B Subordinate Voting Shares for 20 trading days within any 30 consecutive trading day period during the Vesting Term, and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(ii) 550,000 additional Earn-Out Shares shall be forfeited by the SPAC Sponsor for no consideration if the share price of Xanadu Class B Subordinate Voting Shares is not at least $15.00 per Xanadu Class B Subordinate Voting Shares for 20 trading days within any 30 consecutive trading day period during the Vesting Term provided.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Vesting is not subject to any employment conditions of the holder of the Earn-Out Shares. However, in the event of (A) a merger, amalgamation, arrangement, consolidation or other business combination involving Xanadu, (B) a sale of all or substantially all of the assets of Xanadu, or (C) any other transaction or series of related transactions as a result of which the holders of Xanadu Class B Subordinate Voting Shares immediately prior to such transaction cease to own at least a majority of the outstanding Xanadu Class B Subordinate Voting Shares or its successor entity, in any case, during the Vesting Term, then, immediately prior to the consummation of such transaction, any and all Earn-Out Shares shall become fully vested and shall no longer be subject to forfeiture under the Reverse Recapitalization Agreement and sponsor letter agreement entered into on November 3, 2025 between the SPAC Sponsor, SPAC, Old Xanadu and Xanadu.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At the Closing, the Earn-Out Shares had an initial fair value of $9,997. The Company allocated $1,264 of the transaction costs related to the Reverse Recapitalization to the issuance of the Earn-out Shares. These costs were expensed within general and administrative expenses in the consolidated statement of operations and comprehensive loss during the three months ended March 31, 2026.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the earn-out liability was carried at a fair value of $7,164. Subsequently, during the second quarter of 2026, the underlying price thresholds were achieved for both tranches of the Earn-Out Shares. Specifically, on May 7, 2026, the first tranche of 550,000 shares vested when the share price of the Company's Class B Subordinate Voting Shares equaled or exceeded the $12.50 target price for 20 trading days within a 30 consecutive trading day period, and the remaining tranche of 550,000 shares vested on May 13, 2026, when the share price equaled or exceeded the $15.00 price target under the same 20 out of 30 trading day framework during the Vesting Term. Accordingly, all 1,100,000 Earn Out Shares vested and are no longer subject to forfeiture. Upon vesting, the earn-out liability was remeasured to its fair value on the respective vesting dates. The cumulative change in fair value from the date of the closing of the Reverse Recapitalization through the final vesting date, resulted in a net loss of $7,764, within the loss on fair value of earn-out liabilities, net within the consolidated statements of operations and comprehensive loss. Following this final remeasurement, the corresponding liability balance was reclassified to shareholders’ equity on the consolidated balance sheet.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See Note 11 for additional information related to valuation assumptions and fair value measurements related to the Earn-out Shares.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16840"/>
                <wp:effectExtent l="0" t="0" r="0" b="0"/>
                <wp:wrapNone/>
                <wp:docPr id="33" name="Frame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22</w:t>
                      </w:r>
                    </w:p>
                  </w:txbxContent>
                </v:textbox>
                <w10:wrap type="none"/>
              </v:rect>
            </w:pict>
          </mc:Fallback>
        </mc:AlternateContent>
      </w:r>
    </w:p>
    <w:p>
      <w:pPr>
        <w:pStyle w:val="TextBody"/>
        <w:bidi w:val="0"/>
        <w:spacing w:lineRule="auto" w:line="288" w:before="0" w:after="0"/>
        <w:ind w:left="0" w:right="0" w:hanging="117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jc w:val="left"/>
        <w:rPr/>
      </w:pPr>
      <w:r>
        <w:rPr/>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pPr>
      <w:r>
        <w:rPr>
          <w:rFonts w:ascii="Times New Roman;serif" w:hAnsi="Times New Roman;serif"/>
          <w:b/>
          <w:color w:val="231F20"/>
          <w:sz w:val="20"/>
        </w:rPr>
        <w:t>XANADU</w:t>
      </w:r>
      <w:r>
        <w:rPr>
          <w:color w:val="231F20"/>
        </w:rPr>
        <w:t xml:space="preserve"> </w:t>
      </w:r>
      <w:r>
        <w:rPr>
          <w:rFonts w:ascii="Times New Roman;serif" w:hAnsi="Times New Roman;serif"/>
          <w:b/>
          <w:color w:val="231F20"/>
          <w:sz w:val="20"/>
        </w:rPr>
        <w:t>QUANTUM</w:t>
      </w:r>
      <w:r>
        <w:rPr>
          <w:color w:val="231F20"/>
        </w:rPr>
        <w:t xml:space="preserve"> </w:t>
      </w:r>
      <w:r>
        <w:rPr>
          <w:rFonts w:ascii="Times New Roman;serif" w:hAnsi="Times New Roman;serif"/>
          <w:b/>
          <w:color w:val="231F20"/>
          <w:sz w:val="20"/>
        </w:rPr>
        <w:t>TECHNOLOGIES LIMITED</w:t>
      </w:r>
    </w:p>
    <w:p>
      <w:pPr>
        <w:pStyle w:val="TextBody"/>
        <w:bidi w:val="0"/>
        <w:spacing w:lineRule="auto" w:line="288" w:before="0" w:after="0"/>
        <w:jc w:val="center"/>
        <w:rPr/>
      </w:pPr>
      <w:r>
        <w:rPr>
          <w:rFonts w:ascii="Times New Roman;serif" w:hAnsi="Times New Roman;serif"/>
          <w:b/>
          <w:color w:val="231F20"/>
          <w:sz w:val="20"/>
        </w:rPr>
        <w:t>Notes</w:t>
      </w:r>
      <w:r>
        <w:rPr>
          <w:color w:val="231F20"/>
        </w:rPr>
        <w:t xml:space="preserve"> </w:t>
      </w:r>
      <w:r>
        <w:rPr>
          <w:rFonts w:ascii="Times New Roman;serif" w:hAnsi="Times New Roman;serif"/>
          <w:b/>
          <w:color w:val="231F20"/>
          <w:sz w:val="20"/>
        </w:rPr>
        <w:t>to</w:t>
      </w:r>
      <w:r>
        <w:rPr>
          <w:color w:val="231F20"/>
        </w:rPr>
        <w:t xml:space="preserve"> </w:t>
      </w:r>
      <w:r>
        <w:rPr>
          <w:rFonts w:ascii="Times New Roman;serif" w:hAnsi="Times New Roman;serif"/>
          <w:b/>
          <w:color w:val="231F20"/>
          <w:sz w:val="20"/>
        </w:rPr>
        <w:t>the</w:t>
      </w:r>
      <w:r>
        <w:rPr>
          <w:color w:val="231F20"/>
        </w:rPr>
        <w:t xml:space="preserve"> </w:t>
      </w:r>
      <w:r>
        <w:rPr>
          <w:rFonts w:ascii="Times New Roman;serif" w:hAnsi="Times New Roman;serif"/>
          <w:b/>
          <w:color w:val="231F20"/>
          <w:sz w:val="20"/>
        </w:rPr>
        <w:t>Condensed</w:t>
      </w:r>
      <w:r>
        <w:rPr>
          <w:color w:val="231F20"/>
        </w:rPr>
        <w:t xml:space="preserve"> </w:t>
      </w:r>
      <w:r>
        <w:rPr>
          <w:rFonts w:ascii="Times New Roman;serif" w:hAnsi="Times New Roman;serif"/>
          <w:b/>
          <w:color w:val="231F20"/>
          <w:sz w:val="20"/>
        </w:rPr>
        <w:t>Consolidated</w:t>
      </w:r>
      <w:r>
        <w:rPr>
          <w:color w:val="231F20"/>
        </w:rPr>
        <w:t xml:space="preserve"> </w:t>
      </w:r>
      <w:r>
        <w:rPr>
          <w:rFonts w:ascii="Times New Roman;serif" w:hAnsi="Times New Roman;serif"/>
          <w:b/>
          <w:color w:val="231F20"/>
          <w:sz w:val="20"/>
        </w:rPr>
        <w:t>Financial</w:t>
      </w:r>
      <w:r>
        <w:rPr>
          <w:color w:val="231F20"/>
        </w:rPr>
        <w:t xml:space="preserve"> </w:t>
      </w:r>
      <w:r>
        <w:rPr>
          <w:rFonts w:ascii="Times New Roman;serif" w:hAnsi="Times New Roman;serif"/>
          <w:b/>
          <w:color w:val="231F20"/>
          <w:sz w:val="20"/>
        </w:rPr>
        <w:t xml:space="preserve">Statements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 except for share and per share amounts, ratios or as otherwise noted)</w:t>
      </w:r>
    </w:p>
    <w:p>
      <w:pPr>
        <w:pStyle w:val="TextBody"/>
        <w:bidi w:val="0"/>
        <w:spacing w:lineRule="auto" w:line="288" w:before="0" w:after="160"/>
        <w:ind w:left="0" w:right="0" w:hanging="480"/>
        <w:jc w:val="left"/>
        <w:rPr>
          <w:rFonts w:ascii="Times New Roman;serif" w:hAnsi="Times New Roman;serif"/>
          <w:b/>
          <w:color w:val="231F20"/>
          <w:sz w:val="20"/>
        </w:rPr>
      </w:pPr>
      <w:r>
        <w:rPr>
          <w:rFonts w:ascii="Times New Roman;serif" w:hAnsi="Times New Roman;serif"/>
          <w:b/>
          <w:color w:val="231F20"/>
          <w:sz w:val="20"/>
        </w:rPr>
        <w:t>Note 4 - Accounts Receivable, net:</w:t>
      </w:r>
    </w:p>
    <w:p>
      <w:pPr>
        <w:pStyle w:val="TextBody"/>
        <w:bidi w:val="0"/>
        <w:spacing w:lineRule="auto" w:line="288" w:before="120" w:after="120"/>
        <w:ind w:left="0" w:right="0" w:firstLine="360"/>
        <w:jc w:val="left"/>
        <w:rPr/>
      </w:pP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Company’s</w:t>
      </w:r>
      <w:r>
        <w:rPr>
          <w:color w:val="231F20"/>
        </w:rPr>
        <w:t xml:space="preserve"> </w:t>
      </w:r>
      <w:r>
        <w:rPr>
          <w:rFonts w:ascii="Times New Roman;serif" w:hAnsi="Times New Roman;serif"/>
          <w:b w:val="false"/>
          <w:color w:val="231F20"/>
          <w:sz w:val="20"/>
        </w:rPr>
        <w:t>accounts</w:t>
      </w:r>
      <w:r>
        <w:rPr>
          <w:color w:val="231F20"/>
        </w:rPr>
        <w:t xml:space="preserve"> </w:t>
      </w:r>
      <w:r>
        <w:rPr>
          <w:rFonts w:ascii="Times New Roman;serif" w:hAnsi="Times New Roman;serif"/>
          <w:b w:val="false"/>
          <w:color w:val="231F20"/>
          <w:sz w:val="20"/>
        </w:rPr>
        <w:t>receivable</w:t>
      </w:r>
      <w:r>
        <w:rPr>
          <w:color w:val="231F20"/>
        </w:rPr>
        <w:t xml:space="preserve"> </w:t>
      </w:r>
      <w:r>
        <w:rPr>
          <w:rFonts w:ascii="Times New Roman;serif" w:hAnsi="Times New Roman;serif"/>
          <w:b w:val="false"/>
          <w:color w:val="231F20"/>
          <w:sz w:val="20"/>
        </w:rPr>
        <w:t>include</w:t>
      </w:r>
      <w:r>
        <w:rPr>
          <w:color w:val="231F20"/>
        </w:rPr>
        <w:t xml:space="preserve"> </w:t>
      </w:r>
      <w:r>
        <w:rPr>
          <w:rFonts w:ascii="Times New Roman;serif" w:hAnsi="Times New Roman;serif"/>
          <w:b w:val="false"/>
          <w:color w:val="231F20"/>
          <w:sz w:val="20"/>
        </w:rPr>
        <w:t>trade and</w:t>
      </w:r>
      <w:r>
        <w:rPr>
          <w:color w:val="231F20"/>
        </w:rPr>
        <w:t xml:space="preserve"> </w:t>
      </w:r>
      <w:r>
        <w:rPr>
          <w:rFonts w:ascii="Times New Roman;serif" w:hAnsi="Times New Roman;serif"/>
          <w:b w:val="false"/>
          <w:color w:val="231F20"/>
          <w:sz w:val="20"/>
        </w:rPr>
        <w:t>other</w:t>
      </w:r>
      <w:r>
        <w:rPr>
          <w:color w:val="231F20"/>
        </w:rPr>
        <w:t xml:space="preserve"> </w:t>
      </w:r>
      <w:r>
        <w:rPr>
          <w:rFonts w:ascii="Times New Roman;serif" w:hAnsi="Times New Roman;serif"/>
          <w:b w:val="false"/>
          <w:color w:val="231F20"/>
          <w:sz w:val="20"/>
        </w:rPr>
        <w:t>receivables</w:t>
      </w:r>
      <w:r>
        <w:rPr>
          <w:color w:val="231F20"/>
        </w:rPr>
        <w:t xml:space="preserve"> </w:t>
      </w:r>
      <w:r>
        <w:rPr>
          <w:rFonts w:ascii="Times New Roman;serif" w:hAnsi="Times New Roman;serif"/>
          <w:b w:val="false"/>
          <w:color w:val="231F20"/>
          <w:sz w:val="20"/>
        </w:rPr>
        <w:t>as</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June 30, 2026 and December 31, 2025:</w:t>
      </w:r>
    </w:p>
    <w:tbl>
      <w:tblPr>
        <w:tblW w:w="4786" w:type="dxa"/>
        <w:jc w:val="left"/>
        <w:tblInd w:w="0" w:type="dxa"/>
        <w:tblLayout w:type="fixed"/>
        <w:tblCellMar>
          <w:top w:w="28" w:type="dxa"/>
          <w:left w:w="28" w:type="dxa"/>
          <w:bottom w:w="28" w:type="dxa"/>
          <w:right w:w="28" w:type="dxa"/>
        </w:tblCellMar>
      </w:tblPr>
      <w:tblGrid>
        <w:gridCol w:w="799"/>
        <w:gridCol w:w="702"/>
        <w:gridCol w:w="703"/>
        <w:gridCol w:w="211"/>
        <w:gridCol w:w="631"/>
        <w:gridCol w:w="109"/>
        <w:gridCol w:w="109"/>
        <w:gridCol w:w="109"/>
        <w:gridCol w:w="109"/>
        <w:gridCol w:w="276"/>
        <w:gridCol w:w="826"/>
        <w:gridCol w:w="202"/>
      </w:tblGrid>
      <w:tr>
        <w:trPr/>
        <w:tc>
          <w:tcPr>
            <w:tcW w:w="7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tLeast" w:line="180" w:before="0" w:after="283"/>
              <w:jc w:val="center"/>
              <w:rPr>
                <w:rFonts w:ascii="Times New Roman;serif" w:hAnsi="Times New Roman;serif"/>
                <w:b/>
                <w:color w:val="231F20"/>
                <w:sz w:val="20"/>
              </w:rPr>
            </w:pPr>
            <w:r>
              <w:rPr>
                <w:rFonts w:ascii="Times New Roman;serif" w:hAnsi="Times New Roman;serif"/>
                <w:b/>
                <w:color w:val="231F2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tLeast" w:line="180" w:before="0" w:after="283"/>
              <w:jc w:val="center"/>
              <w:rPr>
                <w:rFonts w:ascii="Times New Roman;serif" w:hAnsi="Times New Roman;serif"/>
                <w:b/>
                <w:color w:val="231F20"/>
                <w:sz w:val="20"/>
              </w:rPr>
            </w:pPr>
            <w:r>
              <w:rPr>
                <w:rFonts w:ascii="Times New Roman;serif" w:hAnsi="Times New Roman;serif"/>
                <w:b/>
                <w:color w:val="231F20"/>
                <w:sz w:val="20"/>
              </w:rPr>
              <w:t>December 31,</w:t>
              <w:br/>
              <w:t>2025</w:t>
            </w:r>
          </w:p>
        </w:tc>
      </w:tr>
      <w:tr>
        <w:trPr/>
        <w:tc>
          <w:tcPr>
            <w:tcW w:w="220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Trade receivable</w:t>
            </w:r>
          </w:p>
        </w:tc>
        <w:tc>
          <w:tcPr>
            <w:tcW w:w="21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3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198 </w:t>
            </w:r>
          </w:p>
        </w:tc>
        <w:tc>
          <w:tcPr>
            <w:tcW w:w="109"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100 </w:t>
            </w:r>
          </w:p>
        </w:tc>
        <w:tc>
          <w:tcPr>
            <w:tcW w:w="202"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Other receivables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Grant receivable</w:t>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5,011 </w:t>
            </w:r>
          </w:p>
        </w:tc>
        <w:tc>
          <w:tcPr>
            <w:tcW w:w="20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Contract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1,499 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Sales tax receivable</w:t>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1,343 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963 </w:t>
            </w:r>
          </w:p>
        </w:tc>
        <w:tc>
          <w:tcPr>
            <w:tcW w:w="20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tLeast" w:line="210" w:before="0" w:after="283"/>
              <w:jc w:val="left"/>
              <w:rPr>
                <w:rFonts w:ascii="Times New Roman;serif" w:hAnsi="Times New Roman;serif"/>
                <w:b w:val="false"/>
                <w:color w:val="231F20"/>
                <w:sz w:val="20"/>
              </w:rPr>
            </w:pPr>
            <w:r>
              <w:rPr>
                <w:rFonts w:ascii="Times New Roman;serif" w:hAnsi="Times New Roman;serif"/>
                <w:b w:val="false"/>
                <w:color w:val="231F20"/>
                <w:sz w:val="20"/>
              </w:rPr>
              <w:t>Deferred transaction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1,818 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DFF" w:val="clear"/>
            <w:tcMar>
              <w:top w:w="0" w:type="dxa"/>
              <w:left w:w="0" w:type="dxa"/>
              <w:bottom w:w="0" w:type="dxa"/>
              <w:right w:w="0" w:type="dxa"/>
            </w:tcMar>
            <w:vAlign w:val="center"/>
          </w:tcPr>
          <w:p>
            <w:pPr>
              <w:pStyle w:val="TableContents"/>
              <w:bidi w:val="0"/>
              <w:spacing w:lineRule="atLeast" w:line="210" w:before="0" w:after="283"/>
              <w:jc w:val="left"/>
              <w:rPr>
                <w:rFonts w:ascii="Times New Roman;serif" w:hAnsi="Times New Roman;serif"/>
                <w:b/>
                <w:color w:val="231F20"/>
                <w:sz w:val="20"/>
              </w:rPr>
            </w:pPr>
            <w:r>
              <w:rPr>
                <w:rFonts w:ascii="Times New Roman;serif" w:hAnsi="Times New Roman;serif"/>
                <w:b/>
                <w:color w:val="231F20"/>
                <w:sz w:val="20"/>
              </w:rPr>
              <w:t>Total</w:t>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63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3,430</w:t>
            </w:r>
            <w:r>
              <w:rPr>
                <w:color w:val="231F20"/>
              </w:rPr>
              <w:t>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82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9,477</w:t>
            </w:r>
            <w:r>
              <w:rPr>
                <w:color w:val="231F20"/>
              </w:rPr>
              <w:t> </w:t>
            </w:r>
          </w:p>
        </w:tc>
        <w:tc>
          <w:tcPr>
            <w:tcW w:w="202"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pPr>
      <w:r>
        <w:rPr>
          <w:rFonts w:ascii="Times New Roman;serif" w:hAnsi="Times New Roman;serif"/>
          <w:b w:val="false"/>
          <w:color w:val="231F20"/>
          <w:sz w:val="20"/>
        </w:rPr>
        <w:t>The Company had no allowance for doubtful accounts as</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June 30, 2026</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 xml:space="preserve">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60"/>
        <w:ind w:left="0" w:right="0" w:hanging="1170"/>
        <w:jc w:val="both"/>
        <w:rPr/>
      </w:pPr>
      <w:r>
        <w:rPr>
          <w:rFonts w:ascii="Times New Roman;serif" w:hAnsi="Times New Roman;serif"/>
          <w:b/>
          <w:color w:val="231F20"/>
          <w:sz w:val="20"/>
        </w:rPr>
        <w:t>Note 5 - Prepaid expenses and other current</w:t>
      </w:r>
      <w:r>
        <w:rPr>
          <w:color w:val="231F20"/>
        </w:rPr>
        <w:t xml:space="preserve"> </w:t>
      </w:r>
      <w:r>
        <w:rPr>
          <w:rFonts w:ascii="Times New Roman;serif" w:hAnsi="Times New Roman;serif"/>
          <w:b/>
          <w:color w:val="231F20"/>
          <w:sz w:val="20"/>
        </w:rPr>
        <w:t>assets:</w:t>
      </w:r>
    </w:p>
    <w:p>
      <w:pPr>
        <w:pStyle w:val="TextBody"/>
        <w:bidi w:val="0"/>
        <w:spacing w:lineRule="auto" w:line="288" w:before="0" w:after="160"/>
        <w:ind w:left="0" w:right="0" w:firstLine="360"/>
        <w:jc w:val="both"/>
        <w:rPr/>
      </w:pPr>
      <w:r>
        <w:rPr>
          <w:rFonts w:ascii="Times New Roman;serif" w:hAnsi="Times New Roman;serif"/>
          <w:b w:val="false"/>
          <w:color w:val="231F20"/>
          <w:sz w:val="20"/>
        </w:rPr>
        <w:t>Prepaid</w:t>
      </w:r>
      <w:r>
        <w:rPr>
          <w:color w:val="231F20"/>
        </w:rPr>
        <w:t xml:space="preserve"> </w:t>
      </w:r>
      <w:r>
        <w:rPr>
          <w:rFonts w:ascii="Times New Roman;serif" w:hAnsi="Times New Roman;serif"/>
          <w:b w:val="false"/>
          <w:color w:val="231F20"/>
          <w:sz w:val="20"/>
        </w:rPr>
        <w:t>expenses</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other</w:t>
      </w:r>
      <w:r>
        <w:rPr>
          <w:color w:val="231F20"/>
        </w:rPr>
        <w:t xml:space="preserve"> </w:t>
      </w:r>
      <w:r>
        <w:rPr>
          <w:rFonts w:ascii="Times New Roman;serif" w:hAnsi="Times New Roman;serif"/>
          <w:b w:val="false"/>
          <w:color w:val="231F20"/>
          <w:sz w:val="20"/>
        </w:rPr>
        <w:t>current</w:t>
      </w:r>
      <w:r>
        <w:rPr>
          <w:color w:val="231F20"/>
        </w:rPr>
        <w:t xml:space="preserve"> </w:t>
      </w:r>
      <w:r>
        <w:rPr>
          <w:rFonts w:ascii="Times New Roman;serif" w:hAnsi="Times New Roman;serif"/>
          <w:b w:val="false"/>
          <w:color w:val="231F20"/>
          <w:sz w:val="20"/>
        </w:rPr>
        <w:t>assets</w:t>
      </w:r>
      <w:r>
        <w:rPr>
          <w:color w:val="231F20"/>
        </w:rPr>
        <w:t xml:space="preserve"> </w:t>
      </w:r>
      <w:r>
        <w:rPr>
          <w:rFonts w:ascii="Times New Roman;serif" w:hAnsi="Times New Roman;serif"/>
          <w:b w:val="false"/>
          <w:color w:val="231F20"/>
          <w:sz w:val="20"/>
        </w:rPr>
        <w:t>are</w:t>
      </w:r>
      <w:r>
        <w:rPr>
          <w:color w:val="231F20"/>
        </w:rPr>
        <w:t xml:space="preserve"> </w:t>
      </w:r>
      <w:r>
        <w:rPr>
          <w:rFonts w:ascii="Times New Roman;serif" w:hAnsi="Times New Roman;serif"/>
          <w:b w:val="false"/>
          <w:color w:val="231F20"/>
          <w:sz w:val="20"/>
        </w:rPr>
        <w:t>comprised</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following</w:t>
      </w:r>
      <w:r>
        <w:rPr>
          <w:color w:val="231F20"/>
        </w:rPr>
        <w:t xml:space="preserve"> </w:t>
      </w:r>
      <w:r>
        <w:rPr>
          <w:rFonts w:ascii="Times New Roman;serif" w:hAnsi="Times New Roman;serif"/>
          <w:b w:val="false"/>
          <w:color w:val="231F20"/>
          <w:sz w:val="20"/>
        </w:rPr>
        <w:t>as of</w:t>
      </w:r>
      <w:r>
        <w:rPr>
          <w:color w:val="231F20"/>
        </w:rPr>
        <w:t xml:space="preserve"> </w:t>
      </w:r>
      <w:r>
        <w:rPr>
          <w:rFonts w:ascii="Times New Roman;serif" w:hAnsi="Times New Roman;serif"/>
          <w:b w:val="false"/>
          <w:color w:val="231F20"/>
          <w:sz w:val="20"/>
        </w:rPr>
        <w:t>June 30, 2026</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December 31, 2025:</w:t>
      </w:r>
    </w:p>
    <w:tbl>
      <w:tblPr>
        <w:tblW w:w="6048" w:type="dxa"/>
        <w:jc w:val="left"/>
        <w:tblInd w:w="0" w:type="dxa"/>
        <w:tblLayout w:type="fixed"/>
        <w:tblCellMar>
          <w:top w:w="28" w:type="dxa"/>
          <w:left w:w="28" w:type="dxa"/>
          <w:bottom w:w="28" w:type="dxa"/>
          <w:right w:w="28" w:type="dxa"/>
        </w:tblCellMar>
      </w:tblPr>
      <w:tblGrid>
        <w:gridCol w:w="1260"/>
        <w:gridCol w:w="1106"/>
        <w:gridCol w:w="1114"/>
        <w:gridCol w:w="211"/>
        <w:gridCol w:w="616"/>
        <w:gridCol w:w="109"/>
        <w:gridCol w:w="109"/>
        <w:gridCol w:w="109"/>
        <w:gridCol w:w="109"/>
        <w:gridCol w:w="280"/>
        <w:gridCol w:w="819"/>
        <w:gridCol w:w="206"/>
      </w:tblGrid>
      <w:tr>
        <w:trPr/>
        <w:tc>
          <w:tcPr>
            <w:tcW w:w="126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Prepaid materials and supplies</w:t>
            </w:r>
          </w:p>
        </w:tc>
        <w:tc>
          <w:tcPr>
            <w:tcW w:w="211" w:type="dxa"/>
            <w:tcBorders>
              <w:top w:val="single" w:sz="4"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5,216 </w:t>
            </w:r>
          </w:p>
        </w:tc>
        <w:tc>
          <w:tcPr>
            <w:tcW w:w="109" w:type="dxa"/>
            <w:tcBorders>
              <w:top w:val="single" w:sz="4" w:space="0" w:color="231F2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4"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3,675 </w:t>
            </w:r>
          </w:p>
        </w:tc>
        <w:tc>
          <w:tcPr>
            <w:tcW w:w="206" w:type="dxa"/>
            <w:tcBorders>
              <w:top w:val="single" w:sz="4" w:space="0" w:color="231F2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Prepaid professional services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prepaid expenses and 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6,229 </w:t>
            </w:r>
          </w:p>
        </w:tc>
        <w:tc>
          <w:tcPr>
            <w:tcW w:w="2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60"/>
        <w:ind w:left="0" w:right="0" w:hanging="1170"/>
        <w:jc w:val="both"/>
        <w:rPr/>
      </w:pPr>
      <w:r>
        <w:rPr>
          <w:rFonts w:ascii="Times New Roman;serif" w:hAnsi="Times New Roman;serif"/>
          <w:b/>
          <w:color w:val="231F20"/>
          <w:sz w:val="20"/>
        </w:rPr>
        <w:t>Note 6 - Accrued</w:t>
      </w:r>
      <w:r>
        <w:rPr>
          <w:color w:val="231F20"/>
        </w:rPr>
        <w:t xml:space="preserve"> </w:t>
      </w:r>
      <w:r>
        <w:rPr>
          <w:rFonts w:ascii="Times New Roman;serif" w:hAnsi="Times New Roman;serif"/>
          <w:b/>
          <w:color w:val="231F20"/>
          <w:sz w:val="20"/>
        </w:rPr>
        <w:t>expenses</w:t>
      </w:r>
      <w:r>
        <w:rPr>
          <w:color w:val="231F20"/>
        </w:rPr>
        <w:t xml:space="preserve"> </w:t>
      </w:r>
      <w:r>
        <w:rPr>
          <w:rFonts w:ascii="Times New Roman;serif" w:hAnsi="Times New Roman;serif"/>
          <w:b/>
          <w:color w:val="231F20"/>
          <w:sz w:val="20"/>
        </w:rPr>
        <w:t>and</w:t>
      </w:r>
      <w:r>
        <w:rPr>
          <w:color w:val="231F20"/>
        </w:rPr>
        <w:t xml:space="preserve"> </w:t>
      </w:r>
      <w:r>
        <w:rPr>
          <w:rFonts w:ascii="Times New Roman;serif" w:hAnsi="Times New Roman;serif"/>
          <w:b/>
          <w:color w:val="231F20"/>
          <w:sz w:val="20"/>
        </w:rPr>
        <w:t>other</w:t>
      </w:r>
      <w:r>
        <w:rPr>
          <w:color w:val="231F20"/>
        </w:rPr>
        <w:t xml:space="preserve"> </w:t>
      </w:r>
      <w:r>
        <w:rPr>
          <w:rFonts w:ascii="Times New Roman;serif" w:hAnsi="Times New Roman;serif"/>
          <w:b/>
          <w:color w:val="231F20"/>
          <w:sz w:val="20"/>
        </w:rPr>
        <w:t>current</w:t>
      </w:r>
      <w:r>
        <w:rPr>
          <w:color w:val="231F20"/>
        </w:rPr>
        <w:t xml:space="preserve"> </w:t>
      </w:r>
      <w:r>
        <w:rPr>
          <w:rFonts w:ascii="Times New Roman;serif" w:hAnsi="Times New Roman;serif"/>
          <w:b/>
          <w:color w:val="231F20"/>
          <w:sz w:val="20"/>
        </w:rPr>
        <w:t>liabilities:</w:t>
      </w:r>
    </w:p>
    <w:p>
      <w:pPr>
        <w:pStyle w:val="TextBody"/>
        <w:bidi w:val="0"/>
        <w:spacing w:lineRule="auto" w:line="288" w:before="0" w:after="160"/>
        <w:ind w:left="0" w:right="0" w:firstLine="360"/>
        <w:jc w:val="both"/>
        <w:rPr/>
      </w:pPr>
      <w:r>
        <w:rPr>
          <w:rFonts w:ascii="Times New Roman;serif" w:hAnsi="Times New Roman;serif"/>
          <w:b w:val="false"/>
          <w:color w:val="231F20"/>
          <w:sz w:val="20"/>
        </w:rPr>
        <w:t>Accrued expenses and other current liabilities are comprised of the following as of June 30, 2026 and</w:t>
      </w:r>
      <w:r>
        <w:rPr>
          <w:color w:val="231F20"/>
        </w:rPr>
        <w:t xml:space="preserve"> </w:t>
      </w:r>
      <w:r>
        <w:rPr>
          <w:rFonts w:ascii="Times New Roman;serif" w:hAnsi="Times New Roman;serif"/>
          <w:b w:val="false"/>
          <w:color w:val="231F20"/>
          <w:sz w:val="20"/>
        </w:rPr>
        <w:t>December 31, 2025:</w:t>
      </w:r>
    </w:p>
    <w:tbl>
      <w:tblPr>
        <w:tblW w:w="6302" w:type="dxa"/>
        <w:jc w:val="left"/>
        <w:tblInd w:w="0" w:type="dxa"/>
        <w:tblLayout w:type="fixed"/>
        <w:tblCellMar>
          <w:top w:w="28" w:type="dxa"/>
          <w:left w:w="28" w:type="dxa"/>
          <w:bottom w:w="28" w:type="dxa"/>
          <w:right w:w="28" w:type="dxa"/>
        </w:tblCellMar>
      </w:tblPr>
      <w:tblGrid>
        <w:gridCol w:w="1389"/>
        <w:gridCol w:w="1223"/>
        <w:gridCol w:w="1227"/>
        <w:gridCol w:w="211"/>
        <w:gridCol w:w="631"/>
        <w:gridCol w:w="109"/>
        <w:gridCol w:w="109"/>
        <w:gridCol w:w="109"/>
        <w:gridCol w:w="109"/>
        <w:gridCol w:w="251"/>
        <w:gridCol w:w="751"/>
        <w:gridCol w:w="183"/>
      </w:tblGrid>
      <w:tr>
        <w:trPr/>
        <w:tc>
          <w:tcPr>
            <w:tcW w:w="138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tLeast" w:line="180" w:before="0" w:after="283"/>
              <w:jc w:val="center"/>
              <w:rPr>
                <w:rFonts w:ascii="Times New Roman;serif" w:hAnsi="Times New Roman;serif"/>
                <w:b/>
                <w:color w:val="231F20"/>
                <w:sz w:val="18"/>
              </w:rPr>
            </w:pPr>
            <w:r>
              <w:rPr>
                <w:rFonts w:ascii="Times New Roman;serif" w:hAnsi="Times New Roman;serif"/>
                <w:b/>
                <w:color w:val="231F2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tLeast" w:line="180" w:before="0" w:after="283"/>
              <w:jc w:val="center"/>
              <w:rPr>
                <w:rFonts w:ascii="Times New Roman;serif" w:hAnsi="Times New Roman;serif"/>
                <w:b/>
                <w:color w:val="231F20"/>
                <w:sz w:val="18"/>
              </w:rPr>
            </w:pPr>
            <w:r>
              <w:rPr>
                <w:rFonts w:ascii="Times New Roman;serif" w:hAnsi="Times New Roman;serif"/>
                <w:b/>
                <w:color w:val="231F20"/>
                <w:sz w:val="18"/>
              </w:rPr>
              <w:t>December 31,</w:t>
              <w:br/>
              <w:t>2025</w:t>
            </w:r>
          </w:p>
        </w:tc>
      </w:tr>
      <w:tr>
        <w:trPr/>
        <w:tc>
          <w:tcPr>
            <w:tcW w:w="3839" w:type="dxa"/>
            <w:gridSpan w:val="3"/>
            <w:tcBorders/>
            <w:shd w:fill="CCEDFF" w:val="clear"/>
            <w:tcMar>
              <w:top w:w="0" w:type="dxa"/>
              <w:left w:w="0" w:type="dxa"/>
              <w:bottom w:w="0" w:type="dxa"/>
              <w:right w:w="0" w:type="dxa"/>
            </w:tcMar>
            <w:vAlign w:val="center"/>
          </w:tcPr>
          <w:p>
            <w:pPr>
              <w:pStyle w:val="TableContents"/>
              <w:bidi w:val="0"/>
              <w:spacing w:lineRule="auto" w:line="288" w:before="13" w:after="283"/>
              <w:jc w:val="left"/>
              <w:rPr/>
            </w:pPr>
            <w:r>
              <w:rPr>
                <w:rFonts w:ascii="Times New Roman;serif" w:hAnsi="Times New Roman;serif"/>
                <w:b w:val="false"/>
                <w:color w:val="231F20"/>
                <w:sz w:val="20"/>
              </w:rPr>
              <w:t>Accrued</w:t>
            </w:r>
            <w:r>
              <w:rPr>
                <w:color w:val="231F20"/>
              </w:rPr>
              <w:t xml:space="preserve"> </w:t>
            </w:r>
            <w:r>
              <w:rPr>
                <w:rFonts w:ascii="Times New Roman;serif" w:hAnsi="Times New Roman;serif"/>
                <w:b w:val="false"/>
                <w:color w:val="231F20"/>
                <w:sz w:val="20"/>
              </w:rPr>
              <w:t>salaries and other payroll liabilities</w:t>
            </w:r>
          </w:p>
        </w:tc>
        <w:tc>
          <w:tcPr>
            <w:tcW w:w="21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3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610 </w:t>
            </w:r>
          </w:p>
        </w:tc>
        <w:tc>
          <w:tcPr>
            <w:tcW w:w="109"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5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36 </w:t>
            </w:r>
          </w:p>
        </w:tc>
        <w:tc>
          <w:tcPr>
            <w:tcW w:w="183"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9" w:after="283"/>
              <w:jc w:val="left"/>
              <w:rPr/>
            </w:pPr>
            <w:r>
              <w:rPr>
                <w:rFonts w:ascii="Times New Roman;serif" w:hAnsi="Times New Roman;serif"/>
                <w:b w:val="false"/>
                <w:color w:val="231F20"/>
                <w:sz w:val="20"/>
              </w:rPr>
              <w:t>Accrued</w:t>
            </w:r>
            <w:r>
              <w:rPr>
                <w:color w:val="231F20"/>
              </w:rPr>
              <w:t xml:space="preserve"> </w:t>
            </w:r>
            <w:r>
              <w:rPr>
                <w:rFonts w:ascii="Times New Roman;serif" w:hAnsi="Times New Roman;serif"/>
                <w:b w:val="false"/>
                <w:color w:val="231F20"/>
                <w:sz w:val="20"/>
              </w:rPr>
              <w:t>professional services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1,962 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DFF" w:val="clear"/>
            <w:tcMar>
              <w:top w:w="0" w:type="dxa"/>
              <w:left w:w="0" w:type="dxa"/>
              <w:bottom w:w="0" w:type="dxa"/>
              <w:right w:w="0" w:type="dxa"/>
            </w:tcMar>
            <w:vAlign w:val="center"/>
          </w:tcPr>
          <w:p>
            <w:pPr>
              <w:pStyle w:val="TableContents"/>
              <w:bidi w:val="0"/>
              <w:spacing w:lineRule="auto" w:line="288" w:before="9" w:after="283"/>
              <w:jc w:val="left"/>
              <w:rPr/>
            </w:pPr>
            <w:r>
              <w:rPr>
                <w:rFonts w:ascii="Times New Roman;serif" w:hAnsi="Times New Roman;serif"/>
                <w:b w:val="false"/>
                <w:color w:val="231F20"/>
                <w:sz w:val="20"/>
              </w:rPr>
              <w:t>Other</w:t>
            </w:r>
            <w:r>
              <w:rPr>
                <w:color w:val="231F20"/>
              </w:rPr>
              <w:t xml:space="preserve"> </w:t>
            </w:r>
            <w:r>
              <w:rPr>
                <w:rFonts w:ascii="Times New Roman;serif" w:hAnsi="Times New Roman;serif"/>
                <w:b w:val="false"/>
                <w:color w:val="231F20"/>
                <w:sz w:val="20"/>
              </w:rPr>
              <w:t>accrued expenses and</w:t>
            </w:r>
            <w:r>
              <w:rPr>
                <w:color w:val="231F20"/>
              </w:rPr>
              <w:t xml:space="preserve"> </w:t>
            </w:r>
            <w:r>
              <w:rPr>
                <w:rFonts w:ascii="Times New Roman;serif" w:hAnsi="Times New Roman;serif"/>
                <w:b w:val="false"/>
                <w:color w:val="231F20"/>
                <w:sz w:val="20"/>
              </w:rPr>
              <w:t>current liabilities</w:t>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2,699 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193 </w:t>
            </w:r>
          </w:p>
        </w:tc>
        <w:tc>
          <w:tcPr>
            <w:tcW w:w="18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tLeast" w:line="210" w:before="9" w:after="283"/>
              <w:jc w:val="left"/>
              <w:rPr>
                <w:rFonts w:ascii="Times New Roman;serif" w:hAnsi="Times New Roman;serif"/>
                <w:b/>
                <w:color w:val="231F20"/>
                <w:sz w:val="20"/>
              </w:rPr>
            </w:pPr>
            <w:r>
              <w:rPr>
                <w:rFonts w:ascii="Times New Roman;serif" w:hAnsi="Times New Roman;serif"/>
                <w:b/>
                <w:color w:val="231F20"/>
                <w:sz w:val="20"/>
              </w:rPr>
              <w:t>Total</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63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6,723</w:t>
            </w:r>
            <w:r>
              <w:rPr>
                <w:color w:val="231F2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2,191</w:t>
            </w:r>
            <w:r>
              <w:rPr>
                <w:color w:val="231F20"/>
              </w:rPr>
              <w:t> </w:t>
            </w:r>
          </w:p>
        </w:tc>
        <w:tc>
          <w:tcPr>
            <w:tcW w:w="18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pP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majority</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other</w:t>
      </w:r>
      <w:r>
        <w:rPr>
          <w:color w:val="231F20"/>
        </w:rPr>
        <w:t xml:space="preserve"> </w:t>
      </w:r>
      <w:r>
        <w:rPr>
          <w:rFonts w:ascii="Times New Roman;serif" w:hAnsi="Times New Roman;serif"/>
          <w:b w:val="false"/>
          <w:color w:val="231F20"/>
          <w:sz w:val="20"/>
        </w:rPr>
        <w:t>accrued</w:t>
      </w:r>
      <w:r>
        <w:rPr>
          <w:color w:val="231F20"/>
        </w:rPr>
        <w:t xml:space="preserve"> </w:t>
      </w:r>
      <w:r>
        <w:rPr>
          <w:rFonts w:ascii="Times New Roman;serif" w:hAnsi="Times New Roman;serif"/>
          <w:b w:val="false"/>
          <w:color w:val="231F20"/>
          <w:sz w:val="20"/>
        </w:rPr>
        <w:t>expenses</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current</w:t>
      </w:r>
      <w:r>
        <w:rPr>
          <w:color w:val="231F20"/>
        </w:rPr>
        <w:t xml:space="preserve"> </w:t>
      </w:r>
      <w:r>
        <w:rPr>
          <w:rFonts w:ascii="Times New Roman;serif" w:hAnsi="Times New Roman;serif"/>
          <w:b w:val="false"/>
          <w:color w:val="231F20"/>
          <w:sz w:val="20"/>
        </w:rPr>
        <w:t>liabilities</w:t>
      </w:r>
      <w:r>
        <w:rPr>
          <w:color w:val="231F20"/>
        </w:rPr>
        <w:t xml:space="preserve"> </w:t>
      </w:r>
      <w:r>
        <w:rPr>
          <w:rFonts w:ascii="Times New Roman;serif" w:hAnsi="Times New Roman;serif"/>
          <w:b w:val="false"/>
          <w:color w:val="231F20"/>
          <w:sz w:val="20"/>
        </w:rPr>
        <w:t>relate</w:t>
      </w:r>
      <w:r>
        <w:rPr>
          <w:color w:val="231F20"/>
        </w:rPr>
        <w:t xml:space="preserve"> </w:t>
      </w:r>
      <w:r>
        <w:rPr>
          <w:rFonts w:ascii="Times New Roman;serif" w:hAnsi="Times New Roman;serif"/>
          <w:b w:val="false"/>
          <w:color w:val="231F20"/>
          <w:sz w:val="20"/>
        </w:rPr>
        <w:t>to R&amp;D consumables received by the Company but not yet billed by the suppliers.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16840"/>
                <wp:effectExtent l="0" t="0" r="0" b="0"/>
                <wp:wrapNone/>
                <wp:docPr id="34" name="Frame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23</w:t>
                      </w:r>
                    </w:p>
                  </w:txbxContent>
                </v:textbox>
                <w10:wrap type="none"/>
              </v:rect>
            </w:pict>
          </mc:Fallback>
        </mc:AlternateContent>
      </w:r>
    </w:p>
    <w:p>
      <w:pPr>
        <w:pStyle w:val="TextBody"/>
        <w:bidi w:val="0"/>
        <w:spacing w:lineRule="auto" w:line="288" w:before="0" w:after="0"/>
        <w:ind w:left="0" w:right="0" w:hanging="117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jc w:val="left"/>
        <w:rPr/>
      </w:pPr>
      <w:r>
        <w:rPr/>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pPr>
      <w:r>
        <w:rPr>
          <w:rFonts w:ascii="Times New Roman;serif" w:hAnsi="Times New Roman;serif"/>
          <w:b/>
          <w:color w:val="231F20"/>
          <w:sz w:val="20"/>
        </w:rPr>
        <w:t>XANADU</w:t>
      </w:r>
      <w:r>
        <w:rPr>
          <w:color w:val="231F20"/>
        </w:rPr>
        <w:t xml:space="preserve"> </w:t>
      </w:r>
      <w:r>
        <w:rPr>
          <w:rFonts w:ascii="Times New Roman;serif" w:hAnsi="Times New Roman;serif"/>
          <w:b/>
          <w:color w:val="231F20"/>
          <w:sz w:val="20"/>
        </w:rPr>
        <w:t>QUANTUM</w:t>
      </w:r>
      <w:r>
        <w:rPr>
          <w:color w:val="231F20"/>
        </w:rPr>
        <w:t xml:space="preserve"> </w:t>
      </w:r>
      <w:r>
        <w:rPr>
          <w:rFonts w:ascii="Times New Roman;serif" w:hAnsi="Times New Roman;serif"/>
          <w:b/>
          <w:color w:val="231F20"/>
          <w:sz w:val="20"/>
        </w:rPr>
        <w:t>TECHNOLOGIES LIMITED</w:t>
      </w:r>
    </w:p>
    <w:p>
      <w:pPr>
        <w:pStyle w:val="TextBody"/>
        <w:bidi w:val="0"/>
        <w:spacing w:lineRule="auto" w:line="288" w:before="0" w:after="0"/>
        <w:jc w:val="center"/>
        <w:rPr/>
      </w:pPr>
      <w:r>
        <w:rPr>
          <w:rFonts w:ascii="Times New Roman;serif" w:hAnsi="Times New Roman;serif"/>
          <w:b/>
          <w:color w:val="231F20"/>
          <w:sz w:val="20"/>
        </w:rPr>
        <w:t>Notes</w:t>
      </w:r>
      <w:r>
        <w:rPr>
          <w:color w:val="231F20"/>
        </w:rPr>
        <w:t xml:space="preserve"> </w:t>
      </w:r>
      <w:r>
        <w:rPr>
          <w:rFonts w:ascii="Times New Roman;serif" w:hAnsi="Times New Roman;serif"/>
          <w:b/>
          <w:color w:val="231F20"/>
          <w:sz w:val="20"/>
        </w:rPr>
        <w:t>to</w:t>
      </w:r>
      <w:r>
        <w:rPr>
          <w:color w:val="231F20"/>
        </w:rPr>
        <w:t xml:space="preserve"> </w:t>
      </w:r>
      <w:r>
        <w:rPr>
          <w:rFonts w:ascii="Times New Roman;serif" w:hAnsi="Times New Roman;serif"/>
          <w:b/>
          <w:color w:val="231F20"/>
          <w:sz w:val="20"/>
        </w:rPr>
        <w:t>the</w:t>
      </w:r>
      <w:r>
        <w:rPr>
          <w:color w:val="231F20"/>
        </w:rPr>
        <w:t xml:space="preserve"> </w:t>
      </w:r>
      <w:r>
        <w:rPr>
          <w:rFonts w:ascii="Times New Roman;serif" w:hAnsi="Times New Roman;serif"/>
          <w:b/>
          <w:color w:val="231F20"/>
          <w:sz w:val="20"/>
        </w:rPr>
        <w:t>Condensed</w:t>
      </w:r>
      <w:r>
        <w:rPr>
          <w:color w:val="231F20"/>
        </w:rPr>
        <w:t xml:space="preserve"> </w:t>
      </w:r>
      <w:r>
        <w:rPr>
          <w:rFonts w:ascii="Times New Roman;serif" w:hAnsi="Times New Roman;serif"/>
          <w:b/>
          <w:color w:val="231F20"/>
          <w:sz w:val="20"/>
        </w:rPr>
        <w:t>Consolidated</w:t>
      </w:r>
      <w:r>
        <w:rPr>
          <w:color w:val="231F20"/>
        </w:rPr>
        <w:t xml:space="preserve"> </w:t>
      </w:r>
      <w:r>
        <w:rPr>
          <w:rFonts w:ascii="Times New Roman;serif" w:hAnsi="Times New Roman;serif"/>
          <w:b/>
          <w:color w:val="231F20"/>
          <w:sz w:val="20"/>
        </w:rPr>
        <w:t>Financial</w:t>
      </w:r>
      <w:r>
        <w:rPr>
          <w:color w:val="231F20"/>
        </w:rPr>
        <w:t xml:space="preserve"> </w:t>
      </w:r>
      <w:r>
        <w:rPr>
          <w:rFonts w:ascii="Times New Roman;serif" w:hAnsi="Times New Roman;serif"/>
          <w:b/>
          <w:color w:val="231F20"/>
          <w:sz w:val="20"/>
        </w:rPr>
        <w:t xml:space="preserve">Statements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 except for share and per share amounts, ratios or as otherwise noted)</w:t>
      </w:r>
    </w:p>
    <w:p>
      <w:pPr>
        <w:pStyle w:val="TextBody"/>
        <w:bidi w:val="0"/>
        <w:spacing w:lineRule="auto" w:line="288" w:before="0" w:after="160"/>
        <w:ind w:left="0" w:right="0" w:hanging="540"/>
        <w:jc w:val="left"/>
        <w:rPr/>
      </w:pPr>
      <w:r>
        <w:rPr>
          <w:rFonts w:ascii="Times New Roman;serif" w:hAnsi="Times New Roman;serif"/>
          <w:b/>
          <w:color w:val="231F20"/>
          <w:sz w:val="20"/>
        </w:rPr>
        <w:t>Note 7 - Property</w:t>
      </w:r>
      <w:r>
        <w:rPr>
          <w:color w:val="231F20"/>
        </w:rPr>
        <w:t xml:space="preserve"> </w:t>
      </w:r>
      <w:r>
        <w:rPr>
          <w:rFonts w:ascii="Times New Roman;serif" w:hAnsi="Times New Roman;serif"/>
          <w:b/>
          <w:color w:val="231F20"/>
          <w:sz w:val="20"/>
        </w:rPr>
        <w:t>and</w:t>
      </w:r>
      <w:r>
        <w:rPr>
          <w:color w:val="231F20"/>
        </w:rPr>
        <w:t xml:space="preserve"> </w:t>
      </w:r>
      <w:r>
        <w:rPr>
          <w:rFonts w:ascii="Times New Roman;serif" w:hAnsi="Times New Roman;serif"/>
          <w:b/>
          <w:color w:val="231F20"/>
          <w:sz w:val="20"/>
        </w:rPr>
        <w:t>Equipment,</w:t>
      </w:r>
      <w:r>
        <w:rPr>
          <w:color w:val="231F20"/>
        </w:rPr>
        <w:t xml:space="preserve"> </w:t>
      </w:r>
      <w:r>
        <w:rPr>
          <w:rFonts w:ascii="Times New Roman;serif" w:hAnsi="Times New Roman;serif"/>
          <w:b/>
          <w:color w:val="231F20"/>
          <w:sz w:val="20"/>
        </w:rPr>
        <w:t>Net:</w:t>
      </w:r>
    </w:p>
    <w:p>
      <w:pPr>
        <w:pStyle w:val="TextBody"/>
        <w:bidi w:val="0"/>
        <w:spacing w:lineRule="auto" w:line="288" w:before="0" w:after="160"/>
        <w:ind w:left="0" w:right="0" w:firstLine="360"/>
        <w:jc w:val="left"/>
        <w:rPr/>
      </w:pPr>
      <w:r>
        <w:rPr>
          <w:rFonts w:ascii="Times New Roman;serif" w:hAnsi="Times New Roman;serif"/>
          <w:b w:val="false"/>
          <w:color w:val="231F20"/>
          <w:sz w:val="20"/>
        </w:rPr>
        <w:t>Property</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equipment, net</w:t>
      </w:r>
      <w:r>
        <w:rPr>
          <w:color w:val="231F20"/>
        </w:rPr>
        <w:t xml:space="preserve"> </w:t>
      </w:r>
      <w:r>
        <w:rPr>
          <w:rFonts w:ascii="Times New Roman;serif" w:hAnsi="Times New Roman;serif"/>
          <w:b w:val="false"/>
          <w:color w:val="231F20"/>
          <w:sz w:val="20"/>
        </w:rPr>
        <w:t>consisted</w:t>
      </w:r>
      <w:r>
        <w:rPr>
          <w:color w:val="231F20"/>
        </w:rPr>
        <w:t xml:space="preserve"> </w:t>
      </w:r>
      <w:r>
        <w:rPr>
          <w:rFonts w:ascii="Times New Roman;serif" w:hAnsi="Times New Roman;serif"/>
          <w:b w:val="false"/>
          <w:color w:val="231F20"/>
          <w:sz w:val="20"/>
        </w:rPr>
        <w:t>of the</w:t>
      </w:r>
      <w:r>
        <w:rPr>
          <w:color w:val="231F20"/>
        </w:rPr>
        <w:t xml:space="preserve"> </w:t>
      </w:r>
      <w:r>
        <w:rPr>
          <w:rFonts w:ascii="Times New Roman;serif" w:hAnsi="Times New Roman;serif"/>
          <w:b w:val="false"/>
          <w:color w:val="231F20"/>
          <w:sz w:val="20"/>
        </w:rPr>
        <w:t>following</w:t>
      </w:r>
      <w:r>
        <w:rPr>
          <w:color w:val="231F20"/>
        </w:rPr>
        <w:t xml:space="preserve"> </w:t>
      </w:r>
      <w:r>
        <w:rPr>
          <w:rFonts w:ascii="Times New Roman;serif" w:hAnsi="Times New Roman;serif"/>
          <w:b w:val="false"/>
          <w:color w:val="231F20"/>
          <w:sz w:val="20"/>
        </w:rPr>
        <w:t>as of</w:t>
      </w:r>
      <w:r>
        <w:rPr>
          <w:color w:val="231F20"/>
        </w:rPr>
        <w:t xml:space="preserve"> </w:t>
      </w:r>
      <w:r>
        <w:rPr>
          <w:rFonts w:ascii="Times New Roman;serif" w:hAnsi="Times New Roman;serif"/>
          <w:b w:val="false"/>
          <w:color w:val="231F20"/>
          <w:sz w:val="20"/>
        </w:rPr>
        <w:t>June 30, 2026</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December 31, 2025:</w:t>
      </w:r>
    </w:p>
    <w:tbl>
      <w:tblPr>
        <w:tblW w:w="5417" w:type="dxa"/>
        <w:jc w:val="left"/>
        <w:tblInd w:w="0" w:type="dxa"/>
        <w:tblLayout w:type="fixed"/>
        <w:tblCellMar>
          <w:top w:w="28" w:type="dxa"/>
          <w:left w:w="28" w:type="dxa"/>
          <w:bottom w:w="28" w:type="dxa"/>
          <w:right w:w="28" w:type="dxa"/>
        </w:tblCellMar>
      </w:tblPr>
      <w:tblGrid>
        <w:gridCol w:w="988"/>
        <w:gridCol w:w="868"/>
        <w:gridCol w:w="873"/>
        <w:gridCol w:w="211"/>
        <w:gridCol w:w="736"/>
        <w:gridCol w:w="109"/>
        <w:gridCol w:w="109"/>
        <w:gridCol w:w="109"/>
        <w:gridCol w:w="109"/>
        <w:gridCol w:w="250"/>
        <w:gridCol w:w="873"/>
        <w:gridCol w:w="182"/>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72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systems and servers</w:t>
            </w:r>
          </w:p>
        </w:tc>
        <w:tc>
          <w:tcPr>
            <w:tcW w:w="21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1,290 </w:t>
            </w:r>
          </w:p>
        </w:tc>
        <w:tc>
          <w:tcPr>
            <w:tcW w:w="109"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82"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Test and computer equipment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 equipment</w:t>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9,608 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9,604 </w:t>
            </w:r>
          </w:p>
        </w:tc>
        <w:tc>
          <w:tcPr>
            <w:tcW w:w="18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3,637 </w:t>
            </w:r>
          </w:p>
        </w:tc>
        <w:tc>
          <w:tcPr>
            <w:tcW w:w="18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31,598 </w:t>
            </w:r>
          </w:p>
        </w:tc>
        <w:tc>
          <w:tcPr>
            <w:tcW w:w="18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47" w:type="dxa"/>
            <w:gridSpan w:val="2"/>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(15,022)</w:t>
            </w:r>
          </w:p>
        </w:tc>
        <w:tc>
          <w:tcPr>
            <w:tcW w:w="109"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(13,285)</w:t>
            </w:r>
          </w:p>
        </w:tc>
        <w:tc>
          <w:tcPr>
            <w:tcW w:w="182"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and equipment, net</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17,270</w:t>
            </w: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18,313</w:t>
            </w:r>
            <w:r>
              <w:rPr>
                <w:color w:val="000000"/>
              </w:rPr>
              <w:t> </w:t>
            </w:r>
          </w:p>
        </w:tc>
        <w:tc>
          <w:tcPr>
            <w:tcW w:w="18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and 2025, the Company recognized depreciation expense of $1,149 and $927, respectively. For the six months ended June 30, 2026 and 2025, the Company recognized depreciation expense of $2,301 and $1,873, respectively.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$4,770 in equipment deposits for property and equipment, which are classified as long-term deposits on the consolidated balance sheets. When the underlying assets are delivered, installed, and placed in service, they will be reclassified to property and equipment,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hanging="540"/>
        <w:jc w:val="left"/>
        <w:rPr/>
      </w:pPr>
      <w:r>
        <w:rPr>
          <w:rFonts w:ascii="Times New Roman;serif" w:hAnsi="Times New Roman;serif"/>
          <w:b/>
          <w:color w:val="231F20"/>
          <w:sz w:val="20"/>
        </w:rPr>
        <w:t>Note 8 - Intangible</w:t>
      </w:r>
      <w:r>
        <w:rPr>
          <w:color w:val="231F20"/>
        </w:rPr>
        <w:t xml:space="preserve"> </w:t>
      </w:r>
      <w:r>
        <w:rPr>
          <w:rFonts w:ascii="Times New Roman;serif" w:hAnsi="Times New Roman;serif"/>
          <w:b/>
          <w:color w:val="231F20"/>
          <w:sz w:val="20"/>
        </w:rPr>
        <w:t>Assets,</w:t>
      </w:r>
      <w:r>
        <w:rPr>
          <w:color w:val="231F20"/>
        </w:rPr>
        <w:t xml:space="preserve"> </w:t>
      </w:r>
      <w:r>
        <w:rPr>
          <w:rFonts w:ascii="Times New Roman;serif" w:hAnsi="Times New Roman;serif"/>
          <w:b/>
          <w:color w:val="231F20"/>
          <w:sz w:val="20"/>
        </w:rPr>
        <w:t>Net:</w:t>
      </w:r>
    </w:p>
    <w:p>
      <w:pPr>
        <w:pStyle w:val="TextBody"/>
        <w:bidi w:val="0"/>
        <w:spacing w:lineRule="auto" w:line="288" w:before="0" w:after="160"/>
        <w:ind w:left="0" w:right="0" w:firstLine="360"/>
        <w:jc w:val="left"/>
        <w:rPr/>
      </w:pPr>
      <w:r>
        <w:rPr>
          <w:rFonts w:ascii="Times New Roman;serif" w:hAnsi="Times New Roman;serif"/>
          <w:b w:val="false"/>
          <w:color w:val="231F20"/>
          <w:sz w:val="20"/>
        </w:rPr>
        <w:t>Intangible</w:t>
      </w:r>
      <w:r>
        <w:rPr>
          <w:color w:val="231F20"/>
        </w:rPr>
        <w:t xml:space="preserve"> </w:t>
      </w:r>
      <w:r>
        <w:rPr>
          <w:rFonts w:ascii="Times New Roman;serif" w:hAnsi="Times New Roman;serif"/>
          <w:b w:val="false"/>
          <w:color w:val="231F20"/>
          <w:sz w:val="20"/>
        </w:rPr>
        <w:t>assets,</w:t>
      </w:r>
      <w:r>
        <w:rPr>
          <w:color w:val="231F20"/>
        </w:rPr>
        <w:t xml:space="preserve"> </w:t>
      </w:r>
      <w:r>
        <w:rPr>
          <w:rFonts w:ascii="Times New Roman;serif" w:hAnsi="Times New Roman;serif"/>
          <w:b w:val="false"/>
          <w:color w:val="231F20"/>
          <w:sz w:val="20"/>
        </w:rPr>
        <w:t>net</w:t>
      </w:r>
      <w:r>
        <w:rPr>
          <w:color w:val="231F20"/>
        </w:rPr>
        <w:t xml:space="preserve"> </w:t>
      </w:r>
      <w:r>
        <w:rPr>
          <w:rFonts w:ascii="Times New Roman;serif" w:hAnsi="Times New Roman;serif"/>
          <w:b w:val="false"/>
          <w:color w:val="231F20"/>
          <w:sz w:val="20"/>
        </w:rPr>
        <w:t>consisted</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following</w:t>
      </w:r>
      <w:r>
        <w:rPr>
          <w:color w:val="231F20"/>
        </w:rPr>
        <w:t xml:space="preserve"> </w:t>
      </w:r>
      <w:r>
        <w:rPr>
          <w:rFonts w:ascii="Times New Roman;serif" w:hAnsi="Times New Roman;serif"/>
          <w:b w:val="false"/>
          <w:color w:val="231F20"/>
          <w:sz w:val="20"/>
        </w:rPr>
        <w:t>as of</w:t>
      </w:r>
      <w:r>
        <w:rPr>
          <w:color w:val="231F20"/>
        </w:rPr>
        <w:t xml:space="preserve"> </w:t>
      </w:r>
      <w:r>
        <w:rPr>
          <w:rFonts w:ascii="Times New Roman;serif" w:hAnsi="Times New Roman;serif"/>
          <w:b w:val="false"/>
          <w:color w:val="231F20"/>
          <w:sz w:val="20"/>
        </w:rPr>
        <w:t>June 30, 2026</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December 31, 2025:</w:t>
      </w:r>
    </w:p>
    <w:tbl>
      <w:tblPr>
        <w:tblW w:w="6779" w:type="dxa"/>
        <w:jc w:val="left"/>
        <w:tblInd w:w="0" w:type="dxa"/>
        <w:tblLayout w:type="fixed"/>
        <w:tblCellMar>
          <w:top w:w="28" w:type="dxa"/>
          <w:left w:w="28" w:type="dxa"/>
          <w:bottom w:w="28" w:type="dxa"/>
          <w:right w:w="28" w:type="dxa"/>
        </w:tblCellMar>
      </w:tblPr>
      <w:tblGrid>
        <w:gridCol w:w="914"/>
        <w:gridCol w:w="808"/>
        <w:gridCol w:w="813"/>
        <w:gridCol w:w="211"/>
        <w:gridCol w:w="736"/>
        <w:gridCol w:w="109"/>
        <w:gridCol w:w="109"/>
        <w:gridCol w:w="109"/>
        <w:gridCol w:w="109"/>
        <w:gridCol w:w="258"/>
        <w:gridCol w:w="776"/>
        <w:gridCol w:w="135"/>
        <w:gridCol w:w="109"/>
        <w:gridCol w:w="109"/>
        <w:gridCol w:w="109"/>
        <w:gridCol w:w="289"/>
        <w:gridCol w:w="865"/>
        <w:gridCol w:w="211"/>
      </w:tblGrid>
      <w:tr>
        <w:trPr/>
        <w:tc>
          <w:tcPr>
            <w:tcW w:w="914"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As of June 30, 2026</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Cost</w:t>
            </w:r>
          </w:p>
        </w:tc>
        <w:tc>
          <w:tcPr>
            <w:tcW w:w="327" w:type="dxa"/>
            <w:gridSpan w:val="3"/>
            <w:tcBorders>
              <w:top w:val="single" w:sz="4"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 xml:space="preserve">Accumulated </w:t>
              <w:br/>
              <w:t>Amortization</w:t>
            </w:r>
          </w:p>
        </w:tc>
        <w:tc>
          <w:tcPr>
            <w:tcW w:w="327" w:type="dxa"/>
            <w:gridSpan w:val="3"/>
            <w:tcBorders>
              <w:top w:val="single" w:sz="4"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Net Book Value</w:t>
            </w:r>
          </w:p>
        </w:tc>
      </w:tr>
      <w:tr>
        <w:trPr/>
        <w:tc>
          <w:tcPr>
            <w:tcW w:w="2535"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Patents</w:t>
            </w:r>
          </w:p>
        </w:tc>
        <w:tc>
          <w:tcPr>
            <w:tcW w:w="21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36"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2,519 </w:t>
            </w:r>
          </w:p>
        </w:tc>
        <w:tc>
          <w:tcPr>
            <w:tcW w:w="109"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76"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(1,560)</w:t>
            </w:r>
          </w:p>
        </w:tc>
        <w:tc>
          <w:tcPr>
            <w:tcW w:w="135"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65"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959 </w:t>
            </w:r>
          </w:p>
        </w:tc>
        <w:tc>
          <w:tcPr>
            <w:tcW w:w="211"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Internally developed software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(3,907)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3,866 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D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val="false"/>
                <w:color w:val="231F20"/>
                <w:sz w:val="20"/>
              </w:rPr>
            </w:pPr>
            <w:r>
              <w:rPr>
                <w:rFonts w:ascii="Times New Roman;serif" w:hAnsi="Times New Roman;serif"/>
                <w:b w:val="false"/>
                <w:color w:val="231F20"/>
                <w:sz w:val="20"/>
              </w:rPr>
              <w:t>External software licenses</w:t>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263 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(142)</w:t>
            </w:r>
          </w:p>
        </w:tc>
        <w:tc>
          <w:tcPr>
            <w:tcW w:w="13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121 </w:t>
            </w:r>
          </w:p>
        </w:tc>
        <w:tc>
          <w:tcPr>
            <w:tcW w:w="21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color w:val="231F20"/>
                <w:sz w:val="20"/>
              </w:rPr>
            </w:pPr>
            <w:r>
              <w:rPr>
                <w:rFonts w:ascii="Times New Roman;serif" w:hAnsi="Times New Roman;serif"/>
                <w:b/>
                <w:color w:val="231F20"/>
                <w:sz w:val="20"/>
              </w:rPr>
              <w:t>Total</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7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10,555</w:t>
            </w:r>
            <w:r>
              <w:rPr>
                <w:color w:val="231F2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77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231F20"/>
                <w:sz w:val="20"/>
              </w:rPr>
            </w:pPr>
            <w:r>
              <w:rPr>
                <w:rFonts w:ascii="Times New Roman;serif" w:hAnsi="Times New Roman;serif"/>
                <w:b/>
                <w:color w:val="231F20"/>
                <w:sz w:val="20"/>
              </w:rPr>
              <w:t>(5,609)</w:t>
            </w:r>
          </w:p>
        </w:tc>
        <w:tc>
          <w:tcPr>
            <w:tcW w:w="13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86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4,946</w:t>
            </w:r>
            <w:r>
              <w:rPr>
                <w:color w:val="231F20"/>
              </w:rPr>
              <w:t> </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711" w:type="dxa"/>
        <w:jc w:val="left"/>
        <w:tblInd w:w="0" w:type="dxa"/>
        <w:tblLayout w:type="fixed"/>
        <w:tblCellMar>
          <w:top w:w="28" w:type="dxa"/>
          <w:left w:w="28" w:type="dxa"/>
          <w:bottom w:w="28" w:type="dxa"/>
          <w:right w:w="28" w:type="dxa"/>
        </w:tblCellMar>
      </w:tblPr>
      <w:tblGrid>
        <w:gridCol w:w="925"/>
        <w:gridCol w:w="817"/>
        <w:gridCol w:w="822"/>
        <w:gridCol w:w="211"/>
        <w:gridCol w:w="631"/>
        <w:gridCol w:w="109"/>
        <w:gridCol w:w="109"/>
        <w:gridCol w:w="109"/>
        <w:gridCol w:w="109"/>
        <w:gridCol w:w="260"/>
        <w:gridCol w:w="781"/>
        <w:gridCol w:w="136"/>
        <w:gridCol w:w="109"/>
        <w:gridCol w:w="109"/>
        <w:gridCol w:w="109"/>
        <w:gridCol w:w="289"/>
        <w:gridCol w:w="865"/>
        <w:gridCol w:w="211"/>
      </w:tblGrid>
      <w:tr>
        <w:trPr/>
        <w:tc>
          <w:tcPr>
            <w:tcW w:w="925"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8"/>
              </w:rPr>
            </w:pPr>
            <w:r>
              <w:rPr>
                <w:rFonts w:ascii="Times New Roman;serif" w:hAnsi="Times New Roman;serif"/>
                <w:b/>
                <w:color w:val="231F20"/>
                <w:sz w:val="18"/>
              </w:rPr>
              <w:t>As of December 31, 2025</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Cost</w:t>
            </w:r>
          </w:p>
        </w:tc>
        <w:tc>
          <w:tcPr>
            <w:tcW w:w="327" w:type="dxa"/>
            <w:gridSpan w:val="3"/>
            <w:tcBorders>
              <w:top w:val="single" w:sz="4"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68" w:before="0" w:after="0"/>
              <w:ind w:left="0" w:right="0" w:firstLine="8"/>
              <w:jc w:val="center"/>
              <w:rPr>
                <w:rFonts w:ascii="Times New Roman;serif" w:hAnsi="Times New Roman;serif"/>
                <w:b/>
                <w:color w:val="231F20"/>
                <w:sz w:val="18"/>
              </w:rPr>
            </w:pPr>
            <w:r>
              <w:rPr>
                <w:rFonts w:ascii="Times New Roman;serif" w:hAnsi="Times New Roman;serif"/>
                <w:b/>
                <w:color w:val="231F20"/>
                <w:sz w:val="18"/>
              </w:rPr>
              <w:t xml:space="preserve">Accumulated </w:t>
            </w:r>
          </w:p>
          <w:p>
            <w:pPr>
              <w:pStyle w:val="TableContents"/>
              <w:bidi w:val="0"/>
              <w:spacing w:lineRule="auto" w:line="240" w:before="0" w:after="0"/>
              <w:jc w:val="center"/>
              <w:rPr>
                <w:rFonts w:ascii="Times New Roman;serif" w:hAnsi="Times New Roman;serif"/>
                <w:b/>
                <w:color w:val="231F20"/>
                <w:sz w:val="18"/>
              </w:rPr>
            </w:pPr>
            <w:r>
              <w:rPr>
                <w:rFonts w:ascii="Times New Roman;serif" w:hAnsi="Times New Roman;serif"/>
                <w:b/>
                <w:color w:val="231F20"/>
                <w:sz w:val="18"/>
              </w:rPr>
              <w:t>Amortization</w:t>
            </w:r>
          </w:p>
        </w:tc>
        <w:tc>
          <w:tcPr>
            <w:tcW w:w="327" w:type="dxa"/>
            <w:gridSpan w:val="3"/>
            <w:tcBorders>
              <w:top w:val="single" w:sz="4"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Net Book Value</w:t>
            </w:r>
          </w:p>
        </w:tc>
      </w:tr>
      <w:tr>
        <w:trPr/>
        <w:tc>
          <w:tcPr>
            <w:tcW w:w="2564" w:type="dxa"/>
            <w:gridSpan w:val="3"/>
            <w:tcBorders/>
            <w:shd w:fill="BFE4FF" w:val="clear"/>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val="false"/>
                <w:color w:val="231F20"/>
                <w:sz w:val="20"/>
              </w:rPr>
            </w:pPr>
            <w:r>
              <w:rPr>
                <w:rFonts w:ascii="Times New Roman;serif" w:hAnsi="Times New Roman;serif"/>
                <w:b w:val="false"/>
                <w:color w:val="231F20"/>
                <w:sz w:val="20"/>
              </w:rPr>
              <w:t>Patents</w:t>
            </w:r>
          </w:p>
        </w:tc>
        <w:tc>
          <w:tcPr>
            <w:tcW w:w="211"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31"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2,226 </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81"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(1,383)</w:t>
            </w:r>
          </w:p>
        </w:tc>
        <w:tc>
          <w:tcPr>
            <w:tcW w:w="136"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65"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843 </w:t>
            </w:r>
          </w:p>
        </w:tc>
        <w:tc>
          <w:tcPr>
            <w:tcW w:w="211"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9" w:after="283"/>
              <w:jc w:val="left"/>
              <w:rPr/>
            </w:pPr>
            <w:r>
              <w:rPr>
                <w:rFonts w:ascii="Times New Roman;serif" w:hAnsi="Times New Roman;serif"/>
                <w:b w:val="false"/>
                <w:color w:val="231F20"/>
                <w:sz w:val="20"/>
              </w:rPr>
              <w:t>Internally</w:t>
            </w:r>
            <w:r>
              <w:rPr>
                <w:color w:val="231F20"/>
              </w:rPr>
              <w:t xml:space="preserve"> </w:t>
            </w:r>
            <w:r>
              <w:rPr>
                <w:rFonts w:ascii="Times New Roman;serif" w:hAnsi="Times New Roman;serif"/>
                <w:b w:val="false"/>
                <w:color w:val="231F20"/>
                <w:sz w:val="20"/>
              </w:rPr>
              <w:t>developed</w:t>
            </w:r>
            <w:r>
              <w:rPr>
                <w:color w:val="231F20"/>
              </w:rPr>
              <w:t xml:space="preserve"> </w:t>
            </w:r>
            <w:r>
              <w:rPr>
                <w:rFonts w:ascii="Times New Roman;serif" w:hAnsi="Times New Roman;serif"/>
                <w:b w:val="false"/>
                <w:color w:val="231F20"/>
                <w:sz w:val="20"/>
              </w:rPr>
              <w:t>software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(3,352)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4,234 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BFE4FF" w:val="clear"/>
            <w:tcMar>
              <w:top w:w="0" w:type="dxa"/>
              <w:left w:w="0" w:type="dxa"/>
              <w:bottom w:w="0" w:type="dxa"/>
              <w:right w:w="0" w:type="dxa"/>
            </w:tcMar>
            <w:vAlign w:val="center"/>
          </w:tcPr>
          <w:p>
            <w:pPr>
              <w:pStyle w:val="TableContents"/>
              <w:bidi w:val="0"/>
              <w:spacing w:lineRule="atLeast" w:line="217" w:before="9" w:after="283"/>
              <w:jc w:val="left"/>
              <w:rPr>
                <w:rFonts w:ascii="Times New Roman;serif" w:hAnsi="Times New Roman;serif"/>
                <w:b w:val="false"/>
                <w:color w:val="231F20"/>
                <w:sz w:val="20"/>
              </w:rPr>
            </w:pPr>
            <w:r>
              <w:rPr>
                <w:rFonts w:ascii="Times New Roman;serif" w:hAnsi="Times New Roman;serif"/>
                <w:b w:val="false"/>
                <w:color w:val="231F20"/>
                <w:sz w:val="20"/>
              </w:rPr>
              <w:t>External software licenses</w:t>
            </w:r>
          </w:p>
        </w:tc>
        <w:tc>
          <w:tcPr>
            <w:tcW w:w="84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(129)</w:t>
            </w:r>
          </w:p>
        </w:tc>
        <w:tc>
          <w:tcPr>
            <w:tcW w:w="13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51 </w:t>
            </w:r>
          </w:p>
        </w:tc>
        <w:tc>
          <w:tcPr>
            <w:tcW w:w="21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tLeast" w:line="217" w:before="13" w:after="283"/>
              <w:jc w:val="left"/>
              <w:rPr>
                <w:rFonts w:ascii="Times New Roman;serif" w:hAnsi="Times New Roman;serif"/>
                <w:b/>
                <w:color w:val="231F20"/>
                <w:sz w:val="20"/>
              </w:rPr>
            </w:pPr>
            <w:r>
              <w:rPr>
                <w:rFonts w:ascii="Times New Roman;serif" w:hAnsi="Times New Roman;serif"/>
                <w:b/>
                <w:color w:val="231F20"/>
                <w:sz w:val="20"/>
              </w:rPr>
              <w:t>Total</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63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9,992</w:t>
            </w:r>
            <w:r>
              <w:rPr>
                <w:color w:val="231F2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7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231F20"/>
                <w:sz w:val="20"/>
              </w:rPr>
            </w:pPr>
            <w:r>
              <w:rPr>
                <w:rFonts w:ascii="Times New Roman;serif" w:hAnsi="Times New Roman;serif"/>
                <w:b/>
                <w:color w:val="231F20"/>
                <w:sz w:val="20"/>
              </w:rPr>
              <w:t>(4,864)</w:t>
            </w:r>
          </w:p>
        </w:tc>
        <w:tc>
          <w:tcPr>
            <w:tcW w:w="1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86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5,128</w:t>
            </w:r>
            <w:r>
              <w:rPr>
                <w:color w:val="231F20"/>
              </w:rPr>
              <w:t> </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360"/>
        <w:jc w:val="both"/>
        <w:rPr/>
      </w:pPr>
      <w:r>
        <w:rPr>
          <w:rFonts w:ascii="Times New Roman;serif" w:hAnsi="Times New Roman;serif"/>
          <w:b w:val="false"/>
          <w:color w:val="231F20"/>
          <w:sz w:val="20"/>
        </w:rPr>
        <w:t xml:space="preserve">For the </w:t>
      </w:r>
      <w:r>
        <w:rPr>
          <w:rFonts w:ascii="Times New Roman;serif" w:hAnsi="Times New Roman;serif"/>
          <w:b w:val="false"/>
          <w:color w:val="000000"/>
          <w:sz w:val="20"/>
        </w:rPr>
        <w:t>three months ended</w:t>
      </w:r>
      <w:r>
        <w:rPr>
          <w:color w:val="231F20"/>
        </w:rPr>
        <w:t xml:space="preserve"> </w:t>
      </w:r>
      <w:r>
        <w:rPr>
          <w:rFonts w:ascii="Times New Roman;serif" w:hAnsi="Times New Roman;serif"/>
          <w:b w:val="false"/>
          <w:color w:val="231F20"/>
          <w:sz w:val="20"/>
        </w:rPr>
        <w:t xml:space="preserve">June 30, 2026 and </w:t>
      </w:r>
      <w:r>
        <w:rPr>
          <w:rFonts w:ascii="Times New Roman;serif" w:hAnsi="Times New Roman;serif"/>
          <w:b w:val="false"/>
          <w:color w:val="000000"/>
          <w:sz w:val="20"/>
        </w:rPr>
        <w:t>2025</w:t>
      </w:r>
      <w:r>
        <w:rPr>
          <w:rFonts w:ascii="Times New Roman;serif" w:hAnsi="Times New Roman;serif"/>
          <w:b w:val="false"/>
          <w:color w:val="231F20"/>
          <w:sz w:val="20"/>
        </w:rPr>
        <w:t xml:space="preserve">, the Company recognized amortization expense of </w:t>
      </w:r>
      <w:r>
        <w:rPr>
          <w:rFonts w:ascii="Times New Roman;serif" w:hAnsi="Times New Roman;serif"/>
          <w:b w:val="false"/>
          <w:color w:val="000000"/>
          <w:sz w:val="20"/>
        </w:rPr>
        <w:t>$490</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$332,</w:t>
      </w:r>
      <w:r>
        <w:rPr>
          <w:color w:val="231F20"/>
        </w:rPr>
        <w:t xml:space="preserve"> </w:t>
      </w:r>
      <w:r>
        <w:rPr>
          <w:rFonts w:ascii="Times New Roman;serif" w:hAnsi="Times New Roman;serif"/>
          <w:b w:val="false"/>
          <w:color w:val="231F20"/>
          <w:sz w:val="20"/>
        </w:rPr>
        <w:t xml:space="preserve">respectively. For the </w:t>
      </w:r>
      <w:r>
        <w:rPr>
          <w:rFonts w:ascii="Times New Roman;serif" w:hAnsi="Times New Roman;serif"/>
          <w:b w:val="false"/>
          <w:color w:val="000000"/>
          <w:sz w:val="20"/>
        </w:rPr>
        <w:t>six months ended</w:t>
      </w:r>
      <w:r>
        <w:rPr>
          <w:color w:val="231F20"/>
        </w:rPr>
        <w:t xml:space="preserve"> </w:t>
      </w:r>
      <w:r>
        <w:rPr>
          <w:rFonts w:ascii="Times New Roman;serif" w:hAnsi="Times New Roman;serif"/>
          <w:b w:val="false"/>
          <w:color w:val="231F20"/>
          <w:sz w:val="20"/>
        </w:rPr>
        <w:t xml:space="preserve">June 30, 2026 and </w:t>
      </w:r>
      <w:r>
        <w:rPr>
          <w:rFonts w:ascii="Times New Roman;serif" w:hAnsi="Times New Roman;serif"/>
          <w:b w:val="false"/>
          <w:color w:val="000000"/>
          <w:sz w:val="20"/>
        </w:rPr>
        <w:t>2025</w:t>
      </w:r>
      <w:r>
        <w:rPr>
          <w:rFonts w:ascii="Times New Roman;serif" w:hAnsi="Times New Roman;serif"/>
          <w:b w:val="false"/>
          <w:color w:val="231F20"/>
          <w:sz w:val="20"/>
        </w:rPr>
        <w:t xml:space="preserve">, the Company recognized amortization expense of </w:t>
      </w:r>
      <w:r>
        <w:rPr>
          <w:rFonts w:ascii="Times New Roman;serif" w:hAnsi="Times New Roman;serif"/>
          <w:b w:val="false"/>
          <w:color w:val="000000"/>
          <w:sz w:val="20"/>
        </w:rPr>
        <w:t>$955</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$662</w:t>
      </w:r>
      <w:r>
        <w:rPr>
          <w:rFonts w:ascii="Times New Roman;serif" w:hAnsi="Times New Roman;serif"/>
          <w:b w:val="false"/>
          <w:color w:val="231F20"/>
          <w:sz w:val="20"/>
        </w:rPr>
        <w:t xml:space="preserve">,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16840"/>
                <wp:effectExtent l="0" t="0" r="0" b="0"/>
                <wp:wrapNone/>
                <wp:docPr id="35" name="Frame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24</w:t>
                      </w:r>
                    </w:p>
                  </w:txbxContent>
                </v:textbox>
                <w10:wrap type="none"/>
              </v:rect>
            </w:pict>
          </mc:Fallback>
        </mc:AlternateContent>
      </w:r>
    </w:p>
    <w:p>
      <w:pPr>
        <w:pStyle w:val="TextBody"/>
        <w:bidi w:val="0"/>
        <w:spacing w:lineRule="auto" w:line="288" w:before="0" w:after="0"/>
        <w:ind w:left="0" w:right="0" w:hanging="117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jc w:val="left"/>
        <w:rPr/>
      </w:pPr>
      <w:r>
        <w:rPr/>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pPr>
      <w:r>
        <w:rPr>
          <w:rFonts w:ascii="Times New Roman;serif" w:hAnsi="Times New Roman;serif"/>
          <w:b/>
          <w:color w:val="231F20"/>
          <w:sz w:val="20"/>
        </w:rPr>
        <w:t>XANADU</w:t>
      </w:r>
      <w:r>
        <w:rPr>
          <w:color w:val="231F20"/>
        </w:rPr>
        <w:t xml:space="preserve"> </w:t>
      </w:r>
      <w:r>
        <w:rPr>
          <w:rFonts w:ascii="Times New Roman;serif" w:hAnsi="Times New Roman;serif"/>
          <w:b/>
          <w:color w:val="231F20"/>
          <w:sz w:val="20"/>
        </w:rPr>
        <w:t>QUANTUM</w:t>
      </w:r>
      <w:r>
        <w:rPr>
          <w:color w:val="231F20"/>
        </w:rPr>
        <w:t xml:space="preserve"> </w:t>
      </w:r>
      <w:r>
        <w:rPr>
          <w:rFonts w:ascii="Times New Roman;serif" w:hAnsi="Times New Roman;serif"/>
          <w:b/>
          <w:color w:val="231F20"/>
          <w:sz w:val="20"/>
        </w:rPr>
        <w:t>TECHNOLOGIES LIMITED</w:t>
      </w:r>
    </w:p>
    <w:p>
      <w:pPr>
        <w:pStyle w:val="TextBody"/>
        <w:bidi w:val="0"/>
        <w:spacing w:lineRule="auto" w:line="288" w:before="0" w:after="0"/>
        <w:jc w:val="center"/>
        <w:rPr/>
      </w:pPr>
      <w:r>
        <w:rPr>
          <w:rFonts w:ascii="Times New Roman;serif" w:hAnsi="Times New Roman;serif"/>
          <w:b/>
          <w:color w:val="231F20"/>
          <w:sz w:val="20"/>
        </w:rPr>
        <w:t>Notes</w:t>
      </w:r>
      <w:r>
        <w:rPr>
          <w:color w:val="231F20"/>
        </w:rPr>
        <w:t xml:space="preserve"> </w:t>
      </w:r>
      <w:r>
        <w:rPr>
          <w:rFonts w:ascii="Times New Roman;serif" w:hAnsi="Times New Roman;serif"/>
          <w:b/>
          <w:color w:val="231F20"/>
          <w:sz w:val="20"/>
        </w:rPr>
        <w:t>to</w:t>
      </w:r>
      <w:r>
        <w:rPr>
          <w:color w:val="231F20"/>
        </w:rPr>
        <w:t xml:space="preserve"> </w:t>
      </w:r>
      <w:r>
        <w:rPr>
          <w:rFonts w:ascii="Times New Roman;serif" w:hAnsi="Times New Roman;serif"/>
          <w:b/>
          <w:color w:val="231F20"/>
          <w:sz w:val="20"/>
        </w:rPr>
        <w:t>the</w:t>
      </w:r>
      <w:r>
        <w:rPr>
          <w:color w:val="231F20"/>
        </w:rPr>
        <w:t xml:space="preserve"> </w:t>
      </w:r>
      <w:r>
        <w:rPr>
          <w:rFonts w:ascii="Times New Roman;serif" w:hAnsi="Times New Roman;serif"/>
          <w:b/>
          <w:color w:val="231F20"/>
          <w:sz w:val="20"/>
        </w:rPr>
        <w:t>Condensed</w:t>
      </w:r>
      <w:r>
        <w:rPr>
          <w:color w:val="231F20"/>
        </w:rPr>
        <w:t xml:space="preserve"> </w:t>
      </w:r>
      <w:r>
        <w:rPr>
          <w:rFonts w:ascii="Times New Roman;serif" w:hAnsi="Times New Roman;serif"/>
          <w:b/>
          <w:color w:val="231F20"/>
          <w:sz w:val="20"/>
        </w:rPr>
        <w:t>Consolidated</w:t>
      </w:r>
      <w:r>
        <w:rPr>
          <w:color w:val="231F20"/>
        </w:rPr>
        <w:t xml:space="preserve"> </w:t>
      </w:r>
      <w:r>
        <w:rPr>
          <w:rFonts w:ascii="Times New Roman;serif" w:hAnsi="Times New Roman;serif"/>
          <w:b/>
          <w:color w:val="231F20"/>
          <w:sz w:val="20"/>
        </w:rPr>
        <w:t>Financial</w:t>
      </w:r>
      <w:r>
        <w:rPr>
          <w:color w:val="231F20"/>
        </w:rPr>
        <w:t xml:space="preserve"> </w:t>
      </w:r>
      <w:r>
        <w:rPr>
          <w:rFonts w:ascii="Times New Roman;serif" w:hAnsi="Times New Roman;serif"/>
          <w:b/>
          <w:color w:val="231F20"/>
          <w:sz w:val="20"/>
        </w:rPr>
        <w:t xml:space="preserve">Statements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 except for share and per share amounts, ratios or as otherwise noted)</w:t>
      </w:r>
    </w:p>
    <w:p>
      <w:pPr>
        <w:pStyle w:val="TextBody"/>
        <w:bidi w:val="0"/>
        <w:spacing w:lineRule="auto" w:line="288" w:before="0" w:after="160"/>
        <w:ind w:left="0" w:right="0" w:hanging="540"/>
        <w:jc w:val="left"/>
        <w:rPr>
          <w:rFonts w:ascii="Times New Roman;serif" w:hAnsi="Times New Roman;serif"/>
          <w:b/>
          <w:color w:val="231F20"/>
          <w:sz w:val="20"/>
        </w:rPr>
      </w:pPr>
      <w:r>
        <w:rPr>
          <w:rFonts w:ascii="Times New Roman;serif" w:hAnsi="Times New Roman;serif"/>
          <w:b/>
          <w:color w:val="231F20"/>
          <w:sz w:val="20"/>
        </w:rPr>
        <w:t>Note 9 - Debt:</w:t>
      </w:r>
    </w:p>
    <w:p>
      <w:pPr>
        <w:pStyle w:val="TextBody"/>
        <w:bidi w:val="0"/>
        <w:spacing w:lineRule="auto" w:line="288" w:before="0" w:after="160"/>
        <w:ind w:left="0" w:right="0" w:firstLine="360"/>
        <w:jc w:val="both"/>
        <w:rPr/>
      </w:pPr>
      <w:r>
        <w:rPr>
          <w:rFonts w:ascii="Times New Roman;serif" w:hAnsi="Times New Roman;serif"/>
          <w:b w:val="false"/>
          <w:color w:val="231F20"/>
          <w:sz w:val="20"/>
        </w:rPr>
        <w:t>As</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June 30, 2026</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December 31, 2025,</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Company’s</w:t>
      </w:r>
      <w:r>
        <w:rPr>
          <w:color w:val="231F20"/>
        </w:rPr>
        <w:t xml:space="preserve"> </w:t>
      </w:r>
      <w:r>
        <w:rPr>
          <w:rFonts w:ascii="Times New Roman;serif" w:hAnsi="Times New Roman;serif"/>
          <w:b w:val="false"/>
          <w:color w:val="231F20"/>
          <w:sz w:val="20"/>
        </w:rPr>
        <w:t>debt</w:t>
      </w:r>
      <w:r>
        <w:rPr>
          <w:color w:val="231F20"/>
        </w:rPr>
        <w:t xml:space="preserve"> </w:t>
      </w:r>
      <w:r>
        <w:rPr>
          <w:rFonts w:ascii="Times New Roman;serif" w:hAnsi="Times New Roman;serif"/>
          <w:b w:val="false"/>
          <w:color w:val="231F20"/>
          <w:sz w:val="20"/>
        </w:rPr>
        <w:t>is</w:t>
      </w:r>
      <w:r>
        <w:rPr>
          <w:color w:val="231F20"/>
        </w:rPr>
        <w:t xml:space="preserve"> </w:t>
      </w:r>
      <w:r>
        <w:rPr>
          <w:rFonts w:ascii="Times New Roman;serif" w:hAnsi="Times New Roman;serif"/>
          <w:b w:val="false"/>
          <w:color w:val="231F20"/>
          <w:sz w:val="20"/>
        </w:rPr>
        <w:t>comprised</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SIF Loan (as defined below) and the FedDev Loan (as defined below)</w:t>
      </w:r>
      <w:r>
        <w:rPr>
          <w:color w:val="231F20"/>
        </w:rPr>
        <w:t xml:space="preserve"> </w:t>
      </w:r>
      <w:r>
        <w:rPr>
          <w:rFonts w:ascii="Times New Roman;serif" w:hAnsi="Times New Roman;serif"/>
          <w:b w:val="false"/>
          <w:color w:val="231F20"/>
          <w:sz w:val="20"/>
        </w:rPr>
        <w:t>as follows:</w:t>
      </w:r>
    </w:p>
    <w:tbl>
      <w:tblPr>
        <w:tblW w:w="4485" w:type="dxa"/>
        <w:jc w:val="left"/>
        <w:tblInd w:w="0" w:type="dxa"/>
        <w:tblLayout w:type="fixed"/>
        <w:tblCellMar>
          <w:top w:w="28" w:type="dxa"/>
          <w:left w:w="28" w:type="dxa"/>
          <w:bottom w:w="28" w:type="dxa"/>
          <w:right w:w="28" w:type="dxa"/>
        </w:tblCellMar>
      </w:tblPr>
      <w:tblGrid>
        <w:gridCol w:w="679"/>
        <w:gridCol w:w="596"/>
        <w:gridCol w:w="599"/>
        <w:gridCol w:w="211"/>
        <w:gridCol w:w="721"/>
        <w:gridCol w:w="109"/>
        <w:gridCol w:w="109"/>
        <w:gridCol w:w="109"/>
        <w:gridCol w:w="109"/>
        <w:gridCol w:w="211"/>
        <w:gridCol w:w="721"/>
        <w:gridCol w:w="311"/>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tLeast" w:line="180" w:before="0" w:after="283"/>
              <w:jc w:val="center"/>
              <w:rPr>
                <w:rFonts w:ascii="Times New Roman;serif" w:hAnsi="Times New Roman;serif"/>
                <w:b/>
                <w:color w:val="231F20"/>
                <w:sz w:val="18"/>
              </w:rPr>
            </w:pPr>
            <w:r>
              <w:rPr>
                <w:rFonts w:ascii="Times New Roman;serif" w:hAnsi="Times New Roman;serif"/>
                <w:b/>
                <w:color w:val="231F2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tLeast" w:line="180" w:before="0" w:after="283"/>
              <w:jc w:val="center"/>
              <w:rPr>
                <w:rFonts w:ascii="Times New Roman;serif" w:hAnsi="Times New Roman;serif"/>
                <w:b/>
                <w:color w:val="231F20"/>
                <w:sz w:val="18"/>
              </w:rPr>
            </w:pPr>
            <w:r>
              <w:rPr>
                <w:rFonts w:ascii="Times New Roman;serif" w:hAnsi="Times New Roman;serif"/>
                <w:b/>
                <w:color w:val="231F20"/>
                <w:sz w:val="18"/>
              </w:rPr>
              <w:t>December 31,</w:t>
              <w:br/>
              <w:t>2025</w:t>
            </w:r>
          </w:p>
        </w:tc>
      </w:tr>
      <w:tr>
        <w:trPr/>
        <w:tc>
          <w:tcPr>
            <w:tcW w:w="187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SIF Loan</w:t>
            </w:r>
          </w:p>
        </w:tc>
        <w:tc>
          <w:tcPr>
            <w:tcW w:w="21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30,168 </w:t>
            </w:r>
          </w:p>
        </w:tc>
        <w:tc>
          <w:tcPr>
            <w:tcW w:w="109"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27,536 </w:t>
            </w:r>
          </w:p>
        </w:tc>
        <w:tc>
          <w:tcPr>
            <w:tcW w:w="311"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val="false"/>
                <w:color w:val="231F20"/>
                <w:sz w:val="20"/>
              </w:rPr>
            </w:pPr>
            <w:r>
              <w:rPr>
                <w:rFonts w:ascii="Times New Roman;serif" w:hAnsi="Times New Roman;serif"/>
                <w:b w:val="false"/>
                <w:color w:val="231F20"/>
                <w:sz w:val="20"/>
              </w:rPr>
              <w:t>FedDev Loan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2,462 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DFF" w:val="clear"/>
            <w:tcMar>
              <w:top w:w="0" w:type="dxa"/>
              <w:left w:w="0" w:type="dxa"/>
              <w:bottom w:w="0" w:type="dxa"/>
              <w:right w:w="0" w:type="dxa"/>
            </w:tcMar>
            <w:vAlign w:val="center"/>
          </w:tcPr>
          <w:p>
            <w:pPr>
              <w:pStyle w:val="TableContents"/>
              <w:bidi w:val="0"/>
              <w:spacing w:lineRule="atLeast" w:line="217" w:before="13" w:after="283"/>
              <w:jc w:val="left"/>
              <w:rPr>
                <w:rFonts w:ascii="Times New Roman;serif" w:hAnsi="Times New Roman;serif"/>
                <w:b w:val="false"/>
                <w:color w:val="231F20"/>
                <w:sz w:val="20"/>
              </w:rPr>
            </w:pPr>
            <w:r>
              <w:rPr>
                <w:rFonts w:ascii="Times New Roman;serif" w:hAnsi="Times New Roman;serif"/>
                <w:b w:val="false"/>
                <w:color w:val="231F20"/>
                <w:sz w:val="20"/>
              </w:rPr>
              <w:t>Total debt</w:t>
            </w:r>
          </w:p>
        </w:tc>
        <w:tc>
          <w:tcPr>
            <w:tcW w:w="932" w:type="dxa"/>
            <w:gridSpan w:val="2"/>
            <w:tcBorders>
              <w:top w:val="single" w:sz="8"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32,539 </w:t>
            </w:r>
          </w:p>
        </w:tc>
        <w:tc>
          <w:tcPr>
            <w:tcW w:w="109" w:type="dxa"/>
            <w:tcBorders>
              <w:top w:val="single" w:sz="8"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29,998 </w:t>
            </w:r>
          </w:p>
        </w:tc>
        <w:tc>
          <w:tcPr>
            <w:tcW w:w="311" w:type="dxa"/>
            <w:tcBorders>
              <w:top w:val="single" w:sz="8" w:space="0" w:color="231F20"/>
            </w:tcBorders>
            <w:shd w:fill="CCED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long-term debt</w:t>
            </w:r>
          </w:p>
        </w:tc>
        <w:tc>
          <w:tcPr>
            <w:tcW w:w="93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32,407</w:t>
            </w:r>
            <w:r>
              <w:rPr>
                <w:color w:val="231F20"/>
              </w:rPr>
              <w:t>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29,998</w:t>
            </w:r>
            <w:r>
              <w:rPr>
                <w:color w:val="231F20"/>
              </w:rPr>
              <w:t> </w:t>
            </w:r>
          </w:p>
        </w:tc>
        <w:tc>
          <w:tcPr>
            <w:tcW w:w="31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360"/>
        <w:jc w:val="left"/>
        <w:rPr/>
      </w:pPr>
      <w:r>
        <w:rPr>
          <w:rFonts w:ascii="Times New Roman;serif" w:hAnsi="Times New Roman;serif"/>
          <w:b/>
          <w:i/>
          <w:color w:val="231F20"/>
          <w:sz w:val="20"/>
        </w:rPr>
        <w:t>SIF</w:t>
      </w:r>
      <w:r>
        <w:rPr>
          <w:color w:val="231F20"/>
        </w:rPr>
        <w:t xml:space="preserve"> </w:t>
      </w:r>
      <w:r>
        <w:rPr>
          <w:rFonts w:ascii="Times New Roman;serif" w:hAnsi="Times New Roman;serif"/>
          <w:b/>
          <w:i/>
          <w:color w:val="231F20"/>
          <w:sz w:val="20"/>
        </w:rPr>
        <w:t>Loan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Strategic Innovation Fund Agreement, by and between Old Xanadu and His Majesty the King in Right of Canada as represented by the Minister of Industry, as amended (the "SIF Loan"), SIF is committed to provide the Company contributions up to C$40,000 contingent on the Company incurring defined eligible expenditures. Contributions from SIF shall be used for the development of photonic-based, fault-tolerant quantum computers, including projects involving the adaptation of research findings for commercial applications, development of current products through the implementation of new or incremental technology, and development of process improvements which reduce the environmental footprint of current production. During the second quarter of 2026, the Company received the remaining C$4,000 in funding from SIF, resulting in all C$40,000 of the program's funding being fully received. As of December 31, 2025, the Company had received C$35,682 in total funding from SIF.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Principal and interest amounts to be repaid under the SIF Loan are determined using a revenue-based formula and are capped at 150% of the principal amount. Repayments are due in up to 20 annual installments, commencing on April 30, 2028. If the total of the 20 revenue-based annual installments is less than the principal amount, any remaining repayment obligation will be forgiven.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SIF Loan includes certain covenants requiring the Company to support high-skilled jobs in Canada, collaborate with Canadian institutions and small and medium-sized Canadian-based enterprises, and invest in R&amp;D within Canada. Repayments of the SIF Loan can also be triggered upon default on loan covenants in the agreement, termination of the agreement, or upon a change of control that has not been approved by the Government of Canada. Old Xanadu determined the Reverse Recapitalization did not constitute a change in control as defined in the SIF Loan and no approvals were required by the Government of Canada. As of June 30, 2026, the Company was in compliance with all events that would trigger default or termination of the agreement.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accounts for the SIF Loan as a liability on the Company’s consolidated balance sheets in accordance with ASC 470-10-25, Sales of Future Revenues. The SIF Loan is initially measured at face value and subsequently amortized using the effective interest method, which includes accrued interest expense over the estimated term of the SIF Loan. The amortization schedule is based on projected cash flows derived from the Company’s long-term revenue forecast. Subsequent changes in forecasted cash flows will be accounted for under the retrospective method, which entails a new effective interest rate being computed each period based on the original proceeds received, actual cash flows to date, and the revised estimate of remaining cash flows. The new discount rate is then used to adjust the carrying value of the debt to the present value of the revised cash flows, discounted at the new effective interest rate. The offset is recognized in interest income (expense), net. As the SIF Loan originated through a government program, a market rate of interest is not imputed in accordance with the scope limitations of ASC 835.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16840"/>
                <wp:effectExtent l="0" t="0" r="0" b="0"/>
                <wp:wrapNone/>
                <wp:docPr id="36" name="Frame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25</w:t>
                      </w:r>
                    </w:p>
                  </w:txbxContent>
                </v:textbox>
                <w10:wrap type="none"/>
              </v:rect>
            </w:pict>
          </mc:Fallback>
        </mc:AlternateContent>
      </w:r>
    </w:p>
    <w:p>
      <w:pPr>
        <w:pStyle w:val="TextBody"/>
        <w:bidi w:val="0"/>
        <w:spacing w:lineRule="auto" w:line="288" w:before="0" w:after="0"/>
        <w:ind w:left="0" w:right="0" w:hanging="117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pPr>
      <w:r>
        <w:rPr>
          <w:rFonts w:ascii="Times New Roman;serif" w:hAnsi="Times New Roman;serif"/>
          <w:b/>
          <w:color w:val="231F20"/>
          <w:sz w:val="20"/>
        </w:rPr>
        <w:t>XANADU</w:t>
      </w:r>
      <w:r>
        <w:rPr>
          <w:color w:val="231F20"/>
        </w:rPr>
        <w:t xml:space="preserve"> </w:t>
      </w:r>
      <w:r>
        <w:rPr>
          <w:rFonts w:ascii="Times New Roman;serif" w:hAnsi="Times New Roman;serif"/>
          <w:b/>
          <w:color w:val="231F20"/>
          <w:sz w:val="20"/>
        </w:rPr>
        <w:t>QUANTUM</w:t>
      </w:r>
      <w:r>
        <w:rPr>
          <w:color w:val="231F20"/>
        </w:rPr>
        <w:t xml:space="preserve"> </w:t>
      </w:r>
      <w:r>
        <w:rPr>
          <w:rFonts w:ascii="Times New Roman;serif" w:hAnsi="Times New Roman;serif"/>
          <w:b/>
          <w:color w:val="231F20"/>
          <w:sz w:val="20"/>
        </w:rPr>
        <w:t>TECHNOLOGIES LIMITED</w:t>
      </w:r>
    </w:p>
    <w:p>
      <w:pPr>
        <w:pStyle w:val="TextBody"/>
        <w:bidi w:val="0"/>
        <w:spacing w:lineRule="auto" w:line="288" w:before="0" w:after="0"/>
        <w:jc w:val="center"/>
        <w:rPr/>
      </w:pPr>
      <w:r>
        <w:rPr>
          <w:rFonts w:ascii="Times New Roman;serif" w:hAnsi="Times New Roman;serif"/>
          <w:b/>
          <w:color w:val="231F20"/>
          <w:sz w:val="20"/>
        </w:rPr>
        <w:t>Notes</w:t>
      </w:r>
      <w:r>
        <w:rPr>
          <w:color w:val="231F20"/>
        </w:rPr>
        <w:t xml:space="preserve"> </w:t>
      </w:r>
      <w:r>
        <w:rPr>
          <w:rFonts w:ascii="Times New Roman;serif" w:hAnsi="Times New Roman;serif"/>
          <w:b/>
          <w:color w:val="231F20"/>
          <w:sz w:val="20"/>
        </w:rPr>
        <w:t>to</w:t>
      </w:r>
      <w:r>
        <w:rPr>
          <w:color w:val="231F20"/>
        </w:rPr>
        <w:t xml:space="preserve"> </w:t>
      </w:r>
      <w:r>
        <w:rPr>
          <w:rFonts w:ascii="Times New Roman;serif" w:hAnsi="Times New Roman;serif"/>
          <w:b/>
          <w:color w:val="231F20"/>
          <w:sz w:val="20"/>
        </w:rPr>
        <w:t>the</w:t>
      </w:r>
      <w:r>
        <w:rPr>
          <w:color w:val="231F20"/>
        </w:rPr>
        <w:t xml:space="preserve"> </w:t>
      </w:r>
      <w:r>
        <w:rPr>
          <w:rFonts w:ascii="Times New Roman;serif" w:hAnsi="Times New Roman;serif"/>
          <w:b/>
          <w:color w:val="231F20"/>
          <w:sz w:val="20"/>
        </w:rPr>
        <w:t>Condensed</w:t>
      </w:r>
      <w:r>
        <w:rPr>
          <w:color w:val="231F20"/>
        </w:rPr>
        <w:t xml:space="preserve"> </w:t>
      </w:r>
      <w:r>
        <w:rPr>
          <w:rFonts w:ascii="Times New Roman;serif" w:hAnsi="Times New Roman;serif"/>
          <w:b/>
          <w:color w:val="231F20"/>
          <w:sz w:val="20"/>
        </w:rPr>
        <w:t>Consolidated</w:t>
      </w:r>
      <w:r>
        <w:rPr>
          <w:color w:val="231F20"/>
        </w:rPr>
        <w:t xml:space="preserve"> </w:t>
      </w:r>
      <w:r>
        <w:rPr>
          <w:rFonts w:ascii="Times New Roman;serif" w:hAnsi="Times New Roman;serif"/>
          <w:b/>
          <w:color w:val="231F20"/>
          <w:sz w:val="20"/>
        </w:rPr>
        <w:t>Financial</w:t>
      </w:r>
      <w:r>
        <w:rPr>
          <w:color w:val="231F20"/>
        </w:rPr>
        <w:t xml:space="preserve"> </w:t>
      </w:r>
      <w:r>
        <w:rPr>
          <w:rFonts w:ascii="Times New Roman;serif" w:hAnsi="Times New Roman;serif"/>
          <w:b/>
          <w:color w:val="231F20"/>
          <w:sz w:val="20"/>
        </w:rPr>
        <w:t xml:space="preserve">Statements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 except for share and per share amounts, ratios or as otherwise noted)</w:t>
      </w:r>
    </w:p>
    <w:p>
      <w:pPr>
        <w:pStyle w:val="TextBody"/>
        <w:bidi w:val="0"/>
        <w:spacing w:before="0" w:after="0"/>
        <w:jc w:val="center"/>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Company determined a weighted average effective interest rate for the SIF Loan of 4.64% and 4.69%, respectively, based on the most recent revenue projections at each reporting date.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interest expense for the three and six months ended June 30, 2026 and 2025 related to the SIF Loan, inclusive of foreign exchange, within interest income (expense), net in the consolidated statements of operations and comprehensive loss: </w:t>
      </w:r>
    </w:p>
    <w:tbl>
      <w:tblPr>
        <w:tblW w:w="5624" w:type="dxa"/>
        <w:jc w:val="left"/>
        <w:tblInd w:w="0" w:type="dxa"/>
        <w:tblLayout w:type="fixed"/>
        <w:tblCellMar>
          <w:top w:w="28" w:type="dxa"/>
          <w:left w:w="28" w:type="dxa"/>
          <w:bottom w:w="28" w:type="dxa"/>
          <w:right w:w="28" w:type="dxa"/>
        </w:tblCellMar>
      </w:tblPr>
      <w:tblGrid>
        <w:gridCol w:w="527"/>
        <w:gridCol w:w="463"/>
        <w:gridCol w:w="464"/>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20"/>
              </w:rPr>
            </w:pPr>
            <w:r>
              <w:rPr>
                <w:rFonts w:ascii="Times New Roman;serif" w:hAnsi="Times New Roman;serif"/>
                <w:b/>
                <w:color w:val="231F2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20"/>
              </w:rPr>
            </w:pPr>
            <w:r>
              <w:rPr>
                <w:rFonts w:ascii="Times New Roman;serif" w:hAnsi="Times New Roman;serif"/>
                <w:b/>
                <w:color w:val="231F20"/>
                <w:sz w:val="20"/>
              </w:rPr>
              <w:t>Six Months Ended</w:t>
              <w:br/>
              <w:t>June 30,</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20"/>
              </w:rPr>
            </w:pPr>
            <w:r>
              <w:rPr>
                <w:rFonts w:ascii="Times New Roman;serif" w:hAnsi="Times New Roman;serif"/>
                <w:b/>
                <w:color w:val="231F20"/>
                <w:sz w:val="20"/>
              </w:rPr>
              <w:t>2026</w:t>
            </w:r>
          </w:p>
        </w:tc>
        <w:tc>
          <w:tcPr>
            <w:tcW w:w="327" w:type="dxa"/>
            <w:gridSpan w:val="3"/>
            <w:tcBorders>
              <w:top w:val="single" w:sz="4"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20"/>
              </w:rPr>
            </w:pPr>
            <w:r>
              <w:rPr>
                <w:rFonts w:ascii="Times New Roman;serif" w:hAnsi="Times New Roman;serif"/>
                <w:b/>
                <w:color w:val="231F2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20"/>
              </w:rPr>
            </w:pPr>
            <w:r>
              <w:rPr>
                <w:rFonts w:ascii="Times New Roman;serif" w:hAnsi="Times New Roman;serif"/>
                <w:b/>
                <w:color w:val="231F20"/>
                <w:sz w:val="20"/>
              </w:rPr>
              <w:t>2026</w:t>
            </w:r>
          </w:p>
        </w:tc>
        <w:tc>
          <w:tcPr>
            <w:tcW w:w="327" w:type="dxa"/>
            <w:gridSpan w:val="3"/>
            <w:tcBorders>
              <w:top w:val="single" w:sz="4"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20"/>
              </w:rPr>
            </w:pPr>
            <w:r>
              <w:rPr>
                <w:rFonts w:ascii="Times New Roman;serif" w:hAnsi="Times New Roman;serif"/>
                <w:b/>
                <w:color w:val="231F20"/>
                <w:sz w:val="20"/>
              </w:rPr>
              <w:t>2025</w:t>
            </w:r>
          </w:p>
        </w:tc>
      </w:tr>
      <w:tr>
        <w:trPr/>
        <w:tc>
          <w:tcPr>
            <w:tcW w:w="145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54"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70" w:after="283"/>
        <w:jc w:val="both"/>
        <w:rPr/>
      </w:pPr>
      <w:r>
        <w:rPr/>
      </w:r>
    </w:p>
    <w:p>
      <w:pPr>
        <w:pStyle w:val="TextBody"/>
        <w:bidi w:val="0"/>
        <w:spacing w:lineRule="auto" w:line="288" w:before="0" w:after="16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following table summarizes the changes in the carrying value of the SIF Loan for the six months ended June 30, 2026:</w:t>
      </w:r>
    </w:p>
    <w:tbl>
      <w:tblPr>
        <w:tblW w:w="7112" w:type="dxa"/>
        <w:jc w:val="left"/>
        <w:tblInd w:w="0" w:type="dxa"/>
        <w:tblLayout w:type="fixed"/>
        <w:tblCellMar>
          <w:top w:w="28" w:type="dxa"/>
          <w:left w:w="28" w:type="dxa"/>
          <w:bottom w:w="28" w:type="dxa"/>
          <w:right w:w="28" w:type="dxa"/>
        </w:tblCellMar>
      </w:tblPr>
      <w:tblGrid>
        <w:gridCol w:w="2056"/>
        <w:gridCol w:w="1811"/>
        <w:gridCol w:w="1817"/>
        <w:gridCol w:w="109"/>
        <w:gridCol w:w="109"/>
        <w:gridCol w:w="109"/>
        <w:gridCol w:w="211"/>
        <w:gridCol w:w="736"/>
        <w:gridCol w:w="154"/>
      </w:tblGrid>
      <w:tr>
        <w:trPr/>
        <w:tc>
          <w:tcPr>
            <w:tcW w:w="2056"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231F20"/>
                <w:sz w:val="20"/>
              </w:rPr>
            </w:pPr>
            <w:r>
              <w:rPr>
                <w:rFonts w:ascii="Times New Roman;serif" w:hAnsi="Times New Roman;serif"/>
                <w:b/>
                <w:color w:val="231F20"/>
                <w:sz w:val="20"/>
              </w:rPr>
              <w:t>Balance as of December 31, 2025</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736"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27,536</w:t>
            </w:r>
            <w:r>
              <w:rPr>
                <w:color w:val="231F20"/>
              </w:rPr>
              <w:t> </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Contributions received, net of changes due to foreign exchange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2,073 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D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val="false"/>
                <w:color w:val="231F20"/>
                <w:sz w:val="20"/>
              </w:rPr>
            </w:pPr>
            <w:r>
              <w:rPr>
                <w:rFonts w:ascii="Times New Roman;serif" w:hAnsi="Times New Roman;serif"/>
                <w:b w:val="false"/>
                <w:color w:val="231F20"/>
                <w:sz w:val="20"/>
              </w:rPr>
              <w:t>Interest expense, net of changes in foreign exchange rates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559 </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color w:val="231F20"/>
                <w:sz w:val="20"/>
              </w:rPr>
            </w:pPr>
            <w:r>
              <w:rPr>
                <w:rFonts w:ascii="Times New Roman;serif" w:hAnsi="Times New Roman;serif"/>
                <w:b/>
                <w:color w:val="231F20"/>
                <w:sz w:val="20"/>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30,168</w:t>
            </w:r>
            <w:r>
              <w:rPr>
                <w:color w:val="231F2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270"/>
        <w:jc w:val="both"/>
        <w:rPr>
          <w:rFonts w:ascii="Times New Roman;serif" w:hAnsi="Times New Roman;serif"/>
          <w:b w:val="false"/>
          <w:color w:val="231F20"/>
          <w:sz w:val="20"/>
        </w:rPr>
      </w:pPr>
      <w:r>
        <w:rPr>
          <w:rFonts w:ascii="Times New Roman;serif" w:hAnsi="Times New Roman;serif"/>
          <w:b w:val="false"/>
          <w:color w:val="231F20"/>
          <w:sz w:val="20"/>
        </w:rPr>
        <w:t>As of June 30, 2026, the Company has classified the SIF Loan as non-current as repayments will not commence within the 12 months following the balance sheet date.</w:t>
      </w:r>
    </w:p>
    <w:p>
      <w:pPr>
        <w:pStyle w:val="TextBody"/>
        <w:bidi w:val="0"/>
        <w:spacing w:lineRule="auto" w:line="288" w:before="120" w:after="120"/>
        <w:ind w:left="0" w:right="0" w:hanging="360"/>
        <w:jc w:val="left"/>
        <w:rPr/>
      </w:pPr>
      <w:r>
        <w:rPr>
          <w:rFonts w:ascii="Times New Roman;serif" w:hAnsi="Times New Roman;serif"/>
          <w:b/>
          <w:i/>
          <w:color w:val="231F20"/>
          <w:sz w:val="20"/>
        </w:rPr>
        <w:t>FedDev</w:t>
      </w:r>
      <w:r>
        <w:rPr>
          <w:color w:val="231F20"/>
        </w:rPr>
        <w:t xml:space="preserve"> </w:t>
      </w:r>
      <w:r>
        <w:rPr>
          <w:rFonts w:ascii="Times New Roman;serif" w:hAnsi="Times New Roman;serif"/>
          <w:b/>
          <w:i/>
          <w:color w:val="231F20"/>
          <w:sz w:val="20"/>
        </w:rPr>
        <w:t>Loan</w:t>
      </w:r>
    </w:p>
    <w:p>
      <w:pPr>
        <w:pStyle w:val="TextBody"/>
        <w:bidi w:val="0"/>
        <w:spacing w:lineRule="auto" w:line="288" w:before="0" w:after="16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Under the Regional Quantum Initiative Contribution Agreement between Old Xanadu and His Majesty the King in Right of Canada as represented by the Minister of Federal Economic Development Agency for Southern Ontario (the “FedDev Loan"), an aggregate principal amount of C$3,750 is made available to the Company based on the Company’s incurrence of eligible expenditures. Proceeds from the FedDev Loan shall be used to advance and commercialize the Company’s quantum products. The Company has received C$3,375 in gross proceeds from the FedDev Loan at June 30, 2026 and December 31, 2025. </w:t>
      </w:r>
    </w:p>
    <w:p>
      <w:pPr>
        <w:pStyle w:val="TextBody"/>
        <w:bidi w:val="0"/>
        <w:spacing w:lineRule="auto" w:line="288" w:before="0" w:after="16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FedDev Loan is repayable in 60 monthly installments commencing on April 1, 2027. As the FedDev Loan originated through a government program with regulated interest, a market rate of interest is not imputed in accordance with the scope exclusions of ASC 835.</w:t>
      </w:r>
    </w:p>
    <w:p>
      <w:pPr>
        <w:pStyle w:val="TextBody"/>
        <w:bidi w:val="0"/>
        <w:spacing w:lineRule="auto" w:line="288" w:before="0" w:after="16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FedDev Loan includes certain event of defaults, including if the Company fails to meet the objectives or milestones outlined in the agreement. Repayment of the FedDev Loan can also be triggered upon default of the agreement. As of June 30, 2026, the Company is not aware of any events that would trigger default of the agreement.</w:t>
      </w:r>
    </w:p>
    <w:p>
      <w:pPr>
        <w:pStyle w:val="TextBody"/>
        <w:bidi w:val="0"/>
        <w:spacing w:lineRule="auto" w:line="288" w:before="0" w:after="160"/>
        <w:ind w:left="0" w:right="0" w:firstLine="360"/>
        <w:jc w:val="left"/>
        <w:rPr>
          <w:rFonts w:ascii="Times New Roman;serif" w:hAnsi="Times New Roman;serif"/>
          <w:b w:val="false"/>
          <w:color w:val="231F20"/>
          <w:sz w:val="20"/>
        </w:rPr>
      </w:pPr>
      <w:r>
        <w:rPr>
          <w:rFonts w:ascii="Times New Roman;serif" w:hAnsi="Times New Roman;serif"/>
          <w:b w:val="false"/>
          <w:color w:val="231F20"/>
          <w:sz w:val="20"/>
        </w:rPr>
        <w:t>The following table summarizes the changes in the carrying value of the FedDev Loan for the six months ended June 30, 2026:</w:t>
      </w:r>
    </w:p>
    <w:tbl>
      <w:tblPr>
        <w:tblW w:w="4250" w:type="dxa"/>
        <w:jc w:val="left"/>
        <w:tblInd w:w="0" w:type="dxa"/>
        <w:tblLayout w:type="fixed"/>
        <w:tblCellMar>
          <w:top w:w="28" w:type="dxa"/>
          <w:left w:w="28" w:type="dxa"/>
          <w:bottom w:w="28" w:type="dxa"/>
          <w:right w:w="28" w:type="dxa"/>
        </w:tblCellMar>
      </w:tblPr>
      <w:tblGrid>
        <w:gridCol w:w="1177"/>
        <w:gridCol w:w="1037"/>
        <w:gridCol w:w="1040"/>
        <w:gridCol w:w="211"/>
        <w:gridCol w:w="631"/>
        <w:gridCol w:w="154"/>
      </w:tblGrid>
      <w:tr>
        <w:trPr/>
        <w:tc>
          <w:tcPr>
            <w:tcW w:w="117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231F20"/>
                <w:sz w:val="20"/>
              </w:rPr>
            </w:pPr>
            <w:r>
              <w:rPr>
                <w:rFonts w:ascii="Times New Roman;serif" w:hAnsi="Times New Roman;serif"/>
                <w:b/>
                <w:color w:val="231F20"/>
                <w:sz w:val="20"/>
              </w:rPr>
              <w:t>Balance as of December 31, 2025</w:t>
            </w:r>
          </w:p>
        </w:tc>
        <w:tc>
          <w:tcPr>
            <w:tcW w:w="211"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631"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2,462</w:t>
            </w:r>
            <w:r>
              <w:rPr>
                <w:color w:val="231F20"/>
              </w:rPr>
              <w:t> </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val="false"/>
                <w:color w:val="231F20"/>
                <w:sz w:val="20"/>
              </w:rPr>
            </w:pPr>
            <w:r>
              <w:rPr>
                <w:rFonts w:ascii="Times New Roman;serif" w:hAnsi="Times New Roman;serif"/>
                <w:b w:val="false"/>
                <w:color w:val="231F20"/>
                <w:sz w:val="20"/>
              </w:rPr>
              <w:t>Changes due to foreign exchange rates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D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color w:val="231F20"/>
                <w:sz w:val="20"/>
              </w:rPr>
            </w:pPr>
            <w:r>
              <w:rPr>
                <w:rFonts w:ascii="Times New Roman;serif" w:hAnsi="Times New Roman;serif"/>
                <w:b/>
                <w:color w:val="231F20"/>
                <w:sz w:val="20"/>
              </w:rPr>
              <w:t>Balance as of June 30, 2026</w:t>
            </w:r>
          </w:p>
        </w:tc>
        <w:tc>
          <w:tcPr>
            <w:tcW w:w="21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63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2,371</w:t>
            </w:r>
            <w:r>
              <w:rPr>
                <w:color w:val="231F20"/>
              </w:rPr>
              <w:t> </w:t>
            </w:r>
          </w:p>
        </w:tc>
        <w:tc>
          <w:tcPr>
            <w:tcW w:w="154"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pPr>
      <w:r>
        <w:rPr>
          <w:rFonts w:ascii="Times New Roman;serif" w:hAnsi="Times New Roman;serif"/>
          <w:b w:val="false"/>
          <w:color w:val="231F20"/>
          <w:sz w:val="20"/>
        </w:rPr>
        <w:t xml:space="preserve">No contributions were received on the FedDev Loan during the three and six months ended June 30, 2026. As of June 30, 2026, the Company has </w:t>
      </w:r>
      <w:r>
        <w:rPr>
          <w:rFonts w:ascii="Times New Roman;serif" w:hAnsi="Times New Roman;serif"/>
          <w:b w:val="false"/>
          <w:color w:val="000000"/>
          <w:sz w:val="20"/>
        </w:rPr>
        <w:t>reclassified $132 of</w:t>
      </w:r>
      <w:r>
        <w:rPr>
          <w:color w:val="231F20"/>
        </w:rPr>
        <w:t xml:space="preserve"> </w:t>
      </w:r>
      <w:r>
        <w:rPr>
          <w:rFonts w:ascii="Times New Roman;serif" w:hAnsi="Times New Roman;serif"/>
          <w:b w:val="false"/>
          <w:color w:val="231F20"/>
          <w:sz w:val="20"/>
        </w:rPr>
        <w:t xml:space="preserve">the outstanding balance to current portion of long-term debt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16840"/>
                <wp:effectExtent l="0" t="0" r="0" b="0"/>
                <wp:wrapNone/>
                <wp:docPr id="37" name="Frame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26</w:t>
                      </w:r>
                    </w:p>
                  </w:txbxContent>
                </v:textbox>
                <w10:wrap type="none"/>
              </v:rect>
            </w:pict>
          </mc:Fallback>
        </mc:AlternateContent>
      </w:r>
    </w:p>
    <w:p>
      <w:pPr>
        <w:pStyle w:val="TextBody"/>
        <w:bidi w:val="0"/>
        <w:spacing w:lineRule="auto" w:line="288" w:before="0" w:after="0"/>
        <w:ind w:left="0" w:right="0" w:hanging="117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pPr>
      <w:r>
        <w:rPr>
          <w:rFonts w:ascii="Times New Roman;serif" w:hAnsi="Times New Roman;serif"/>
          <w:b/>
          <w:color w:val="231F20"/>
          <w:sz w:val="20"/>
        </w:rPr>
        <w:t>XANADU</w:t>
      </w:r>
      <w:r>
        <w:rPr>
          <w:color w:val="231F20"/>
        </w:rPr>
        <w:t xml:space="preserve"> </w:t>
      </w:r>
      <w:r>
        <w:rPr>
          <w:rFonts w:ascii="Times New Roman;serif" w:hAnsi="Times New Roman;serif"/>
          <w:b/>
          <w:color w:val="231F20"/>
          <w:sz w:val="20"/>
        </w:rPr>
        <w:t>QUANTUM</w:t>
      </w:r>
      <w:r>
        <w:rPr>
          <w:color w:val="231F20"/>
        </w:rPr>
        <w:t xml:space="preserve"> </w:t>
      </w:r>
      <w:r>
        <w:rPr>
          <w:rFonts w:ascii="Times New Roman;serif" w:hAnsi="Times New Roman;serif"/>
          <w:b/>
          <w:color w:val="231F20"/>
          <w:sz w:val="20"/>
        </w:rPr>
        <w:t>TECHNOLOGIES LIMITED</w:t>
      </w:r>
    </w:p>
    <w:p>
      <w:pPr>
        <w:pStyle w:val="TextBody"/>
        <w:bidi w:val="0"/>
        <w:spacing w:lineRule="auto" w:line="288" w:before="0" w:after="0"/>
        <w:jc w:val="center"/>
        <w:rPr/>
      </w:pPr>
      <w:r>
        <w:rPr>
          <w:rFonts w:ascii="Times New Roman;serif" w:hAnsi="Times New Roman;serif"/>
          <w:b/>
          <w:color w:val="231F20"/>
          <w:sz w:val="20"/>
        </w:rPr>
        <w:t>Notes</w:t>
      </w:r>
      <w:r>
        <w:rPr>
          <w:color w:val="231F20"/>
        </w:rPr>
        <w:t xml:space="preserve"> </w:t>
      </w:r>
      <w:r>
        <w:rPr>
          <w:rFonts w:ascii="Times New Roman;serif" w:hAnsi="Times New Roman;serif"/>
          <w:b/>
          <w:color w:val="231F20"/>
          <w:sz w:val="20"/>
        </w:rPr>
        <w:t>to</w:t>
      </w:r>
      <w:r>
        <w:rPr>
          <w:color w:val="231F20"/>
        </w:rPr>
        <w:t xml:space="preserve"> </w:t>
      </w:r>
      <w:r>
        <w:rPr>
          <w:rFonts w:ascii="Times New Roman;serif" w:hAnsi="Times New Roman;serif"/>
          <w:b/>
          <w:color w:val="231F20"/>
          <w:sz w:val="20"/>
        </w:rPr>
        <w:t>the</w:t>
      </w:r>
      <w:r>
        <w:rPr>
          <w:color w:val="231F20"/>
        </w:rPr>
        <w:t xml:space="preserve"> </w:t>
      </w:r>
      <w:r>
        <w:rPr>
          <w:rFonts w:ascii="Times New Roman;serif" w:hAnsi="Times New Roman;serif"/>
          <w:b/>
          <w:color w:val="231F20"/>
          <w:sz w:val="20"/>
        </w:rPr>
        <w:t>Condensed</w:t>
      </w:r>
      <w:r>
        <w:rPr>
          <w:color w:val="231F20"/>
        </w:rPr>
        <w:t xml:space="preserve"> </w:t>
      </w:r>
      <w:r>
        <w:rPr>
          <w:rFonts w:ascii="Times New Roman;serif" w:hAnsi="Times New Roman;serif"/>
          <w:b/>
          <w:color w:val="231F20"/>
          <w:sz w:val="20"/>
        </w:rPr>
        <w:t>Consolidated</w:t>
      </w:r>
      <w:r>
        <w:rPr>
          <w:color w:val="231F20"/>
        </w:rPr>
        <w:t xml:space="preserve"> </w:t>
      </w:r>
      <w:r>
        <w:rPr>
          <w:rFonts w:ascii="Times New Roman;serif" w:hAnsi="Times New Roman;serif"/>
          <w:b/>
          <w:color w:val="231F20"/>
          <w:sz w:val="20"/>
        </w:rPr>
        <w:t>Financial</w:t>
      </w:r>
      <w:r>
        <w:rPr>
          <w:color w:val="231F20"/>
        </w:rPr>
        <w:t xml:space="preserve"> </w:t>
      </w:r>
      <w:r>
        <w:rPr>
          <w:rFonts w:ascii="Times New Roman;serif" w:hAnsi="Times New Roman;serif"/>
          <w:b/>
          <w:color w:val="231F20"/>
          <w:sz w:val="20"/>
        </w:rPr>
        <w:t xml:space="preserve">Statements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 except for share and per share amounts, ratios or as otherwise noted)</w:t>
      </w:r>
    </w:p>
    <w:p>
      <w:pPr>
        <w:pStyle w:val="TextBody"/>
        <w:bidi w:val="0"/>
        <w:spacing w:before="0" w:after="0"/>
        <w:jc w:val="center"/>
        <w:rPr/>
      </w:pPr>
      <w:r>
        <w:rPr/>
      </w:r>
    </w:p>
    <w:p>
      <w:pPr>
        <w:pStyle w:val="TextBody"/>
        <w:bidi w:val="0"/>
        <w:spacing w:lineRule="auto" w:line="288" w:before="120" w:after="120"/>
        <w:jc w:val="both"/>
        <w:rPr/>
      </w:pPr>
      <w:r>
        <w:rPr>
          <w:rFonts w:ascii="Times New Roman;serif" w:hAnsi="Times New Roman;serif"/>
          <w:b w:val="false"/>
          <w:color w:val="231F20"/>
          <w:sz w:val="20"/>
        </w:rPr>
        <w:t>to reflect maturities coming due within the next 12 months. The remaining balance of the FedDev Loan continues to be classified as long-term, as those principal repayments will</w:t>
      </w:r>
      <w:r>
        <w:rPr>
          <w:color w:val="231F20"/>
        </w:rPr>
        <w:t xml:space="preserve"> </w:t>
      </w:r>
      <w:r>
        <w:rPr>
          <w:rFonts w:ascii="Times New Roman;serif" w:hAnsi="Times New Roman;serif"/>
          <w:b w:val="false"/>
          <w:color w:val="231F20"/>
          <w:sz w:val="20"/>
        </w:rPr>
        <w:t>not commence within the 12 months following the balance sheet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hanging="480"/>
        <w:jc w:val="left"/>
        <w:rPr/>
      </w:pPr>
      <w:r>
        <w:rPr>
          <w:rFonts w:ascii="Times New Roman;serif" w:hAnsi="Times New Roman;serif"/>
          <w:b/>
          <w:color w:val="231F20"/>
          <w:sz w:val="20"/>
        </w:rPr>
        <w:t>Note 10 - Warrant</w:t>
      </w:r>
      <w:r>
        <w:rPr>
          <w:color w:val="231F20"/>
        </w:rPr>
        <w:t xml:space="preserve"> </w:t>
      </w:r>
      <w:r>
        <w:rPr>
          <w:rFonts w:ascii="Times New Roman;serif" w:hAnsi="Times New Roman;serif"/>
          <w:b/>
          <w:color w:val="231F20"/>
          <w:sz w:val="20"/>
        </w:rPr>
        <w:t>Liabilities:</w:t>
      </w:r>
    </w:p>
    <w:p>
      <w:pPr>
        <w:pStyle w:val="TextBody"/>
        <w:bidi w:val="0"/>
        <w:spacing w:lineRule="auto" w:line="288" w:before="0" w:after="16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As of December 31, 2025, the Company’s warrant liabilities were comprised of the SFTrust Warrants (as defined below) and RBC Warrants (as defined below). The carrying value of the warrant liabilities as of June 30, 2026 and December 31, 2025 are as follows:</w:t>
      </w:r>
    </w:p>
    <w:tbl>
      <w:tblPr>
        <w:tblW w:w="6040" w:type="dxa"/>
        <w:jc w:val="left"/>
        <w:tblInd w:w="0" w:type="dxa"/>
        <w:tblLayout w:type="fixed"/>
        <w:tblCellMar>
          <w:top w:w="28" w:type="dxa"/>
          <w:left w:w="28" w:type="dxa"/>
          <w:bottom w:w="28" w:type="dxa"/>
          <w:right w:w="28" w:type="dxa"/>
        </w:tblCellMar>
      </w:tblPr>
      <w:tblGrid>
        <w:gridCol w:w="1370"/>
        <w:gridCol w:w="1201"/>
        <w:gridCol w:w="1208"/>
        <w:gridCol w:w="218"/>
        <w:gridCol w:w="419"/>
        <w:gridCol w:w="112"/>
        <w:gridCol w:w="109"/>
        <w:gridCol w:w="109"/>
        <w:gridCol w:w="109"/>
        <w:gridCol w:w="251"/>
        <w:gridCol w:w="751"/>
        <w:gridCol w:w="183"/>
      </w:tblGrid>
      <w:tr>
        <w:trPr/>
        <w:tc>
          <w:tcPr>
            <w:tcW w:w="1370"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tLeast" w:line="180" w:before="0" w:after="283"/>
              <w:jc w:val="center"/>
              <w:rPr>
                <w:rFonts w:ascii="Times New Roman;serif" w:hAnsi="Times New Roman;serif"/>
                <w:b/>
                <w:color w:val="231F20"/>
                <w:sz w:val="18"/>
              </w:rPr>
            </w:pPr>
            <w:r>
              <w:rPr>
                <w:rFonts w:ascii="Times New Roman;serif" w:hAnsi="Times New Roman;serif"/>
                <w:b/>
                <w:color w:val="231F2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tLeast" w:line="180" w:before="0" w:after="283"/>
              <w:jc w:val="center"/>
              <w:rPr>
                <w:rFonts w:ascii="Times New Roman;serif" w:hAnsi="Times New Roman;serif"/>
                <w:b/>
                <w:color w:val="231F20"/>
                <w:sz w:val="18"/>
              </w:rPr>
            </w:pPr>
            <w:r>
              <w:rPr>
                <w:rFonts w:ascii="Times New Roman;serif" w:hAnsi="Times New Roman;serif"/>
                <w:b/>
                <w:color w:val="231F20"/>
                <w:sz w:val="18"/>
              </w:rPr>
              <w:t>December 31,</w:t>
              <w:br/>
              <w:t>2025</w:t>
            </w:r>
          </w:p>
        </w:tc>
      </w:tr>
      <w:tr>
        <w:trPr/>
        <w:tc>
          <w:tcPr>
            <w:tcW w:w="377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MVS Warrants (previously SFTrust Warrants)</w:t>
            </w:r>
          </w:p>
        </w:tc>
        <w:tc>
          <w:tcPr>
            <w:tcW w:w="218"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19"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12"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5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915 </w:t>
            </w:r>
          </w:p>
        </w:tc>
        <w:tc>
          <w:tcPr>
            <w:tcW w:w="183"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SVS Warrants (previously RBC Warrants)</w:t>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959 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DFF" w:val="clear"/>
            <w:tcMar>
              <w:top w:w="0" w:type="dxa"/>
              <w:left w:w="0" w:type="dxa"/>
              <w:bottom w:w="0" w:type="dxa"/>
              <w:right w:w="0" w:type="dxa"/>
            </w:tcMar>
            <w:vAlign w:val="center"/>
          </w:tcPr>
          <w:p>
            <w:pPr>
              <w:pStyle w:val="TableContents"/>
              <w:bidi w:val="0"/>
              <w:spacing w:lineRule="atLeast" w:line="210" w:before="0" w:after="283"/>
              <w:jc w:val="left"/>
              <w:rPr>
                <w:rFonts w:ascii="Times New Roman;serif" w:hAnsi="Times New Roman;serif"/>
                <w:b/>
                <w:color w:val="231F20"/>
                <w:sz w:val="20"/>
              </w:rPr>
            </w:pPr>
            <w:r>
              <w:rPr>
                <w:rFonts w:ascii="Times New Roman;serif" w:hAnsi="Times New Roman;serif"/>
                <w:b/>
                <w:color w:val="231F20"/>
                <w:sz w:val="20"/>
              </w:rPr>
              <w:t>Total warrant liabilities</w:t>
            </w:r>
          </w:p>
        </w:tc>
        <w:tc>
          <w:tcPr>
            <w:tcW w:w="218"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419"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color w:val="231F20"/>
              </w:rPr>
            </w:pPr>
            <w:r>
              <w:rPr>
                <w:color w:val="231F20"/>
              </w:rPr>
              <w:t>— </w:t>
            </w:r>
          </w:p>
        </w:tc>
        <w:tc>
          <w:tcPr>
            <w:tcW w:w="112"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75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1,874</w:t>
            </w:r>
            <w:r>
              <w:rPr>
                <w:color w:val="231F20"/>
              </w:rPr>
              <w:t> </w:t>
            </w:r>
          </w:p>
        </w:tc>
        <w:tc>
          <w:tcPr>
            <w:tcW w:w="183"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warrant liabilities is estimated using a Black-Scholes option pricing model. Inherent in a Black-Scholes option pricing model are assumptions related to the fair value of the underlying common shares, expected stock-price volatility, expected term, risk-free interest rate and dividend yield.</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Remeasurement and Reclassification to Equity</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Upon the Closing, the Company re-evaluated both the MVS and SVS warrants under ASC 815-40, Contracts in Entity’s Own Equity. Management determined that following the exchange modifications, both instruments met the criteria for equity classification as they are now considered indexed to the Company’s own shares and as such were reclassified from liability to equity on the date of the Reverse Recapitalization. </w:t>
      </w:r>
    </w:p>
    <w:p>
      <w:pPr>
        <w:pStyle w:val="TextBody"/>
        <w:bidi w:val="0"/>
        <w:spacing w:lineRule="auto" w:line="288" w:before="120" w:after="120"/>
        <w:ind w:left="0" w:right="0" w:firstLine="270"/>
        <w:jc w:val="both"/>
        <w:rPr/>
      </w:pPr>
      <w:r>
        <w:rPr>
          <w:rFonts w:ascii="Times New Roman;serif" w:hAnsi="Times New Roman;serif"/>
          <w:b w:val="false"/>
          <w:color w:val="000000"/>
          <w:sz w:val="20"/>
        </w:rPr>
        <w:t>Accordingly, on the March 26, 2026 reclassification date, the outstanding warrant liabilities were remeasured to their fair values using the Black-Scholes option pricing model, resulting in a net loss of $895 recorded within other operating income, net.</w:t>
      </w:r>
      <w:r>
        <w:rPr>
          <w:color w:val="231F20"/>
        </w:rPr>
        <w:t xml:space="preserve"> </w:t>
      </w:r>
      <w:r>
        <w:rPr>
          <w:rFonts w:ascii="Times New Roman;serif" w:hAnsi="Times New Roman;serif"/>
          <w:b w:val="false"/>
          <w:color w:val="231F20"/>
          <w:sz w:val="20"/>
        </w:rPr>
        <w:t>Following this final remeasurement, the cumulative warrant liability balance of</w:t>
      </w:r>
      <w:r>
        <w:rPr>
          <w:color w:val="000000"/>
        </w:rPr>
        <w:t xml:space="preserve"> </w:t>
      </w:r>
      <w:r>
        <w:rPr>
          <w:rFonts w:ascii="Times New Roman;serif" w:hAnsi="Times New Roman;serif"/>
          <w:b w:val="false"/>
          <w:color w:val="000000"/>
          <w:sz w:val="20"/>
        </w:rPr>
        <w:t xml:space="preserve">$2,769 was reclassified to additional-paid-in capital on the condensed consolidated balance sheet. </w:t>
      </w:r>
    </w:p>
    <w:p>
      <w:pPr>
        <w:pStyle w:val="TextBody"/>
        <w:bidi w:val="0"/>
        <w:spacing w:lineRule="auto" w:line="240" w:before="17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Refer to the MVS and SVS warrant exchange and reclassification equity sections below for additional information by warrant. </w:t>
      </w:r>
    </w:p>
    <w:p>
      <w:pPr>
        <w:pStyle w:val="TextBody"/>
        <w:bidi w:val="0"/>
        <w:spacing w:lineRule="auto" w:line="240" w:before="170" w:after="283"/>
        <w:jc w:val="both"/>
        <w:rPr>
          <w:rFonts w:ascii="Times New Roman;serif" w:hAnsi="Times New Roman;serif"/>
          <w:b/>
          <w:i/>
          <w:color w:val="000000"/>
          <w:sz w:val="20"/>
        </w:rPr>
      </w:pPr>
      <w:r>
        <w:rPr>
          <w:rFonts w:ascii="Times New Roman;serif" w:hAnsi="Times New Roman;serif"/>
          <w:b/>
          <w:i/>
          <w:color w:val="000000"/>
          <w:sz w:val="20"/>
        </w:rPr>
        <w:t>MVS Warrants (previously SFTrust Warrants)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Background</w:t>
      </w:r>
    </w:p>
    <w:p>
      <w:pPr>
        <w:pStyle w:val="TextBody"/>
        <w:bidi w:val="0"/>
        <w:spacing w:lineRule="auto" w:line="240" w:before="17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2018, 34,000 warrants were issued to Silicon Valley Bank ("2018 SFTrust Warrants"). The 2018 SFTrust Warrants were issued with an exercise price of C$0.29 per share and a ten year term from their original issuance. The fair value of the 2018 SFTrust Warrants on their respective grant dates were recognized within additional paid-in capital with an offset to debt issuance costs.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2021 amendment, Silicon Valley Bank was issued warrants to purchase 24,164 voting common shares of Old Xanadu representing 0.1% of the fully diluted shares, post Series B financing in 2021, per the terms of the Silicon Valley Bank loan agreement, on the same terms and conditions as established for other common shareholders ("2021 SFTrust Warrants", and together with the 2018 SFTrust Warrants, "SFTrust Warrants"). Half of the 2021 SFTrust Warrants vested immediately upon entering into the amendment with the other half vesting upon the draw of the Silicon Valley Bank term loan (the "SVB Term Loan") exceeding $5,000. Upon issuance, all 12,082 vested SFTrust Warrants had an exercise price of $1.69 per share and a 12-year term from their original issuance. 12,082 of the SFTrust Warrants have expired because Old Xanadu did not draw more than $5,000 of the SVB Term Loan prior to its full repayment and extinguishment on April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16840"/>
                <wp:effectExtent l="0" t="0" r="0" b="0"/>
                <wp:wrapNone/>
                <wp:docPr id="38" name="Frame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27</w:t>
                      </w:r>
                    </w:p>
                  </w:txbxContent>
                </v:textbox>
                <w10:wrap type="none"/>
              </v:rect>
            </w:pict>
          </mc:Fallback>
        </mc:AlternateContent>
      </w:r>
    </w:p>
    <w:p>
      <w:pPr>
        <w:pStyle w:val="TextBody"/>
        <w:bidi w:val="0"/>
        <w:spacing w:lineRule="auto" w:line="288" w:before="0" w:after="0"/>
        <w:ind w:left="0" w:right="0" w:hanging="117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pPr>
      <w:r>
        <w:rPr>
          <w:rFonts w:ascii="Times New Roman;serif" w:hAnsi="Times New Roman;serif"/>
          <w:b/>
          <w:color w:val="231F20"/>
          <w:sz w:val="20"/>
        </w:rPr>
        <w:t>XANADU</w:t>
      </w:r>
      <w:r>
        <w:rPr>
          <w:color w:val="231F20"/>
        </w:rPr>
        <w:t xml:space="preserve"> </w:t>
      </w:r>
      <w:r>
        <w:rPr>
          <w:rFonts w:ascii="Times New Roman;serif" w:hAnsi="Times New Roman;serif"/>
          <w:b/>
          <w:color w:val="231F20"/>
          <w:sz w:val="20"/>
        </w:rPr>
        <w:t>QUANTUM</w:t>
      </w:r>
      <w:r>
        <w:rPr>
          <w:color w:val="231F20"/>
        </w:rPr>
        <w:t xml:space="preserve"> </w:t>
      </w:r>
      <w:r>
        <w:rPr>
          <w:rFonts w:ascii="Times New Roman;serif" w:hAnsi="Times New Roman;serif"/>
          <w:b/>
          <w:color w:val="231F20"/>
          <w:sz w:val="20"/>
        </w:rPr>
        <w:t>TECHNOLOGIES LIMITED</w:t>
      </w:r>
    </w:p>
    <w:p>
      <w:pPr>
        <w:pStyle w:val="TextBody"/>
        <w:bidi w:val="0"/>
        <w:spacing w:lineRule="auto" w:line="288" w:before="0" w:after="0"/>
        <w:jc w:val="center"/>
        <w:rPr/>
      </w:pPr>
      <w:r>
        <w:rPr>
          <w:rFonts w:ascii="Times New Roman;serif" w:hAnsi="Times New Roman;serif"/>
          <w:b/>
          <w:color w:val="231F20"/>
          <w:sz w:val="20"/>
        </w:rPr>
        <w:t>Notes</w:t>
      </w:r>
      <w:r>
        <w:rPr>
          <w:color w:val="231F20"/>
        </w:rPr>
        <w:t xml:space="preserve"> </w:t>
      </w:r>
      <w:r>
        <w:rPr>
          <w:rFonts w:ascii="Times New Roman;serif" w:hAnsi="Times New Roman;serif"/>
          <w:b/>
          <w:color w:val="231F20"/>
          <w:sz w:val="20"/>
        </w:rPr>
        <w:t>to</w:t>
      </w:r>
      <w:r>
        <w:rPr>
          <w:color w:val="231F20"/>
        </w:rPr>
        <w:t xml:space="preserve"> </w:t>
      </w:r>
      <w:r>
        <w:rPr>
          <w:rFonts w:ascii="Times New Roman;serif" w:hAnsi="Times New Roman;serif"/>
          <w:b/>
          <w:color w:val="231F20"/>
          <w:sz w:val="20"/>
        </w:rPr>
        <w:t>the</w:t>
      </w:r>
      <w:r>
        <w:rPr>
          <w:color w:val="231F20"/>
        </w:rPr>
        <w:t xml:space="preserve"> </w:t>
      </w:r>
      <w:r>
        <w:rPr>
          <w:rFonts w:ascii="Times New Roman;serif" w:hAnsi="Times New Roman;serif"/>
          <w:b/>
          <w:color w:val="231F20"/>
          <w:sz w:val="20"/>
        </w:rPr>
        <w:t>Condensed</w:t>
      </w:r>
      <w:r>
        <w:rPr>
          <w:color w:val="231F20"/>
        </w:rPr>
        <w:t xml:space="preserve"> </w:t>
      </w:r>
      <w:r>
        <w:rPr>
          <w:rFonts w:ascii="Times New Roman;serif" w:hAnsi="Times New Roman;serif"/>
          <w:b/>
          <w:color w:val="231F20"/>
          <w:sz w:val="20"/>
        </w:rPr>
        <w:t>Consolidated</w:t>
      </w:r>
      <w:r>
        <w:rPr>
          <w:color w:val="231F20"/>
        </w:rPr>
        <w:t xml:space="preserve"> </w:t>
      </w:r>
      <w:r>
        <w:rPr>
          <w:rFonts w:ascii="Times New Roman;serif" w:hAnsi="Times New Roman;serif"/>
          <w:b/>
          <w:color w:val="231F20"/>
          <w:sz w:val="20"/>
        </w:rPr>
        <w:t>Financial</w:t>
      </w:r>
      <w:r>
        <w:rPr>
          <w:color w:val="231F20"/>
        </w:rPr>
        <w:t xml:space="preserve"> </w:t>
      </w:r>
      <w:r>
        <w:rPr>
          <w:rFonts w:ascii="Times New Roman;serif" w:hAnsi="Times New Roman;serif"/>
          <w:b/>
          <w:color w:val="231F20"/>
          <w:sz w:val="20"/>
        </w:rPr>
        <w:t xml:space="preserve">Statements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 except for share and per share amounts, ratios or as otherwise noted)</w:t>
      </w:r>
    </w:p>
    <w:p>
      <w:pPr>
        <w:pStyle w:val="TextBody"/>
        <w:bidi w:val="0"/>
        <w:spacing w:before="0" w:after="0"/>
        <w:jc w:val="center"/>
        <w:rPr/>
      </w:pPr>
      <w:r>
        <w:rPr/>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Warrant Exchange and Reclassification to Equity</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immediately prior to the Reverse Recapitalization on March 26, 2026, there were 46,082 SFTrust Warrants issued and outstanding classified as liabilities on the consolidated balance sheets. Immediately prior to the Reverse Recapitalization, these SFTrust Warrants were exchanged for 519,974 warrants to purchase Xanadu Class A Multiple Voting Shares based on the Exchange Ratio established in the Reverse Recapitalization and a U.S. dollar denominated strike price. Upon exchange, Xanadu issued MVS Warrants exercisable for 383,645 Xanadu Class A Multiple Voting Shares at a price of $0.02 per share and MVS Warrants exercisable for 136,329 Xanadu Class A Multiple Voting Shares at a price of $0.15 per share.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exchange, the MVS warrants now qualified for equity classification under ASC 815-40 and the MVS Warrant liability balance was remeasured to its fair value and then subsequently reclassified to additional paid-in capital on the condensed consolidated balance sheet.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Warrant Exercise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March 30, 2026, following the reclassification to equity, the holder of the outstanding MVS Warrants elected to settle the instruments through a cashless net exercise feature. Pursuant to the terms of the warrant agreement, the holder surrendered 2,447 MVS Warrants to cover the aggregate exercise price, resulting in the issuance of 517,527 Xanadu Class A Multiple Voting Shares. In connection with this exercise, $1,397 was reclassified from additional paid in capital to share capital. </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all MVS Warrants were exercised. As of December 31, 2025, the MVS Warrants had a fair value of $915, which was included as a current liability on the consolidated balance sheets.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SVS Warrants (previously RBC Warrants)</w:t>
      </w:r>
    </w:p>
    <w:p>
      <w:pPr>
        <w:pStyle w:val="TextBody"/>
        <w:bidi w:val="0"/>
        <w:spacing w:lineRule="auto" w:line="288" w:before="120" w:after="160"/>
        <w:jc w:val="both"/>
        <w:rPr>
          <w:rFonts w:ascii="Times New Roman;serif" w:hAnsi="Times New Roman;serif"/>
          <w:b w:val="false"/>
          <w:i/>
          <w:color w:val="000000"/>
          <w:sz w:val="20"/>
        </w:rPr>
      </w:pPr>
      <w:r>
        <w:rPr>
          <w:rFonts w:ascii="Times New Roman;serif" w:hAnsi="Times New Roman;serif"/>
          <w:b w:val="false"/>
          <w:i/>
          <w:color w:val="000000"/>
          <w:sz w:val="20"/>
        </w:rPr>
        <w:t>Background</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On May 23, 2023, the Company signed a credit agreement with the Royal Bank of Canada (“RBC”) for a maximum principal amount of $25,000 (the “RBC Term Loan”). In connection with the RBC Term Loan, RBC was issued warrants to purchase 13,999 non-voting common shares of the Company on the same terms and conditions as established for other common shareholders (the “RBC Warrants”). The RBC Warrants were issued with an exercise price of $12.94 per share and a 12-year term from their original issuance.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Warrant Exchange and Reclassification to Equity</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immediately prior to the Reverse Recapitalization on March 26, 2026, there were 13,999 RBC Warrants issued and outstanding. Upon the Closing, these RBC Warrants were exchanged for 157,960 SVS Warrants to purchase Xanadu Class B Subordinate Voting Shares based on the Exchange Ratio established in the Reverse Recapitalization and a U.S. dollar denominated strike price of $1.15 per share.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exchange, the SVS Warrants qualified for equity classification under ASC 815-40 and the SVS warrant liability balance was remeasured to its fair value and then subsequently reclassified to additional paid-in capital on the condensed consolidated balance sheet. </w:t>
      </w:r>
    </w:p>
    <w:p>
      <w:pPr>
        <w:pStyle w:val="TextBody"/>
        <w:bidi w:val="0"/>
        <w:spacing w:lineRule="auto" w:line="240" w:before="170" w:after="283"/>
        <w:ind w:left="0" w:right="0" w:firstLine="360"/>
        <w:jc w:val="both"/>
        <w:rPr/>
      </w:pPr>
      <w:r>
        <w:rPr>
          <w:rFonts w:ascii="Times New Roman;serif" w:hAnsi="Times New Roman;serif"/>
          <w:b w:val="false"/>
          <w:color w:val="000000"/>
          <w:sz w:val="20"/>
        </w:rPr>
        <w:t xml:space="preserve">As of </w:t>
      </w:r>
      <w:r>
        <w:rPr>
          <w:rFonts w:ascii="Times New Roman;serif" w:hAnsi="Times New Roman;serif"/>
          <w:b w:val="false"/>
          <w:color w:val="231F20"/>
          <w:sz w:val="20"/>
        </w:rPr>
        <w:t>June 30, 2026</w:t>
      </w:r>
      <w:r>
        <w:rPr>
          <w:rFonts w:ascii="Times New Roman;serif" w:hAnsi="Times New Roman;serif"/>
          <w:b w:val="false"/>
          <w:color w:val="000000"/>
          <w:sz w:val="20"/>
        </w:rPr>
        <w:t>, the 157,960 SVS Warrants remain classified within additional paid-in capital and are no longer subject to remeasurement.</w:t>
      </w:r>
    </w:p>
    <w:p>
      <w:pPr>
        <w:pStyle w:val="TextBody"/>
        <w:bidi w:val="0"/>
        <w:spacing w:lineRule="auto" w:line="240" w:before="170" w:after="283"/>
        <w:jc w:val="both"/>
        <w:rPr>
          <w:rFonts w:ascii="Times New Roman;serif" w:hAnsi="Times New Roman;serif"/>
          <w:b w:val="false"/>
          <w:i/>
          <w:color w:val="000000"/>
          <w:sz w:val="20"/>
        </w:rPr>
      </w:pPr>
      <w:r>
        <w:rPr>
          <w:rFonts w:ascii="Times New Roman;serif" w:hAnsi="Times New Roman;serif"/>
          <w:b w:val="false"/>
          <w:i/>
          <w:color w:val="000000"/>
          <w:sz w:val="20"/>
        </w:rPr>
        <w:t>Warrant Exercise</w:t>
      </w:r>
    </w:p>
    <w:p>
      <w:pPr>
        <w:pStyle w:val="TextBody"/>
        <w:bidi w:val="0"/>
        <w:spacing w:lineRule="auto" w:line="240" w:before="17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Subsequent to the end of the period, the SVS Warrants were exercised. See Note 19 for additional information.</w:t>
      </w:r>
    </w:p>
    <w:p>
      <w:pPr>
        <w:pStyle w:val="TextBody"/>
        <w:bidi w:val="0"/>
        <w:spacing w:before="17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16840"/>
                <wp:effectExtent l="0" t="0" r="0" b="0"/>
                <wp:wrapNone/>
                <wp:docPr id="39" name="Frame3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28</w:t>
                      </w:r>
                    </w:p>
                  </w:txbxContent>
                </v:textbox>
                <w10:wrap type="none"/>
              </v:rect>
            </w:pict>
          </mc:Fallback>
        </mc:AlternateContent>
      </w:r>
    </w:p>
    <w:p>
      <w:pPr>
        <w:pStyle w:val="TextBody"/>
        <w:bidi w:val="0"/>
        <w:spacing w:lineRule="auto" w:line="288" w:before="0" w:after="0"/>
        <w:ind w:left="0" w:right="0" w:hanging="117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center"/>
        <w:rPr/>
      </w:pPr>
      <w:r>
        <w:rPr>
          <w:rFonts w:ascii="Times New Roman;serif" w:hAnsi="Times New Roman;serif"/>
          <w:b/>
          <w:color w:val="231F20"/>
          <w:sz w:val="20"/>
        </w:rPr>
        <w:t>XANADU</w:t>
      </w:r>
      <w:r>
        <w:rPr>
          <w:color w:val="231F20"/>
        </w:rPr>
        <w:t xml:space="preserve"> </w:t>
      </w:r>
      <w:r>
        <w:rPr>
          <w:rFonts w:ascii="Times New Roman;serif" w:hAnsi="Times New Roman;serif"/>
          <w:b/>
          <w:color w:val="231F20"/>
          <w:sz w:val="20"/>
        </w:rPr>
        <w:t>QUANTUM</w:t>
      </w:r>
      <w:r>
        <w:rPr>
          <w:color w:val="231F20"/>
        </w:rPr>
        <w:t xml:space="preserve"> </w:t>
      </w:r>
      <w:r>
        <w:rPr>
          <w:rFonts w:ascii="Times New Roman;serif" w:hAnsi="Times New Roman;serif"/>
          <w:b/>
          <w:color w:val="231F20"/>
          <w:sz w:val="20"/>
        </w:rPr>
        <w:t>TECHNOLOGIES LIMITED</w:t>
      </w:r>
    </w:p>
    <w:p>
      <w:pPr>
        <w:pStyle w:val="TextBody"/>
        <w:bidi w:val="0"/>
        <w:spacing w:lineRule="auto" w:line="288" w:before="0" w:after="0"/>
        <w:jc w:val="center"/>
        <w:rPr/>
      </w:pPr>
      <w:r>
        <w:rPr>
          <w:rFonts w:ascii="Times New Roman;serif" w:hAnsi="Times New Roman;serif"/>
          <w:b/>
          <w:color w:val="231F20"/>
          <w:sz w:val="20"/>
        </w:rPr>
        <w:t>Notes</w:t>
      </w:r>
      <w:r>
        <w:rPr>
          <w:color w:val="231F20"/>
        </w:rPr>
        <w:t xml:space="preserve"> </w:t>
      </w:r>
      <w:r>
        <w:rPr>
          <w:rFonts w:ascii="Times New Roman;serif" w:hAnsi="Times New Roman;serif"/>
          <w:b/>
          <w:color w:val="231F20"/>
          <w:sz w:val="20"/>
        </w:rPr>
        <w:t>to</w:t>
      </w:r>
      <w:r>
        <w:rPr>
          <w:color w:val="231F20"/>
        </w:rPr>
        <w:t xml:space="preserve"> </w:t>
      </w:r>
      <w:r>
        <w:rPr>
          <w:rFonts w:ascii="Times New Roman;serif" w:hAnsi="Times New Roman;serif"/>
          <w:b/>
          <w:color w:val="231F20"/>
          <w:sz w:val="20"/>
        </w:rPr>
        <w:t>the</w:t>
      </w:r>
      <w:r>
        <w:rPr>
          <w:color w:val="231F20"/>
        </w:rPr>
        <w:t xml:space="preserve"> </w:t>
      </w:r>
      <w:r>
        <w:rPr>
          <w:rFonts w:ascii="Times New Roman;serif" w:hAnsi="Times New Roman;serif"/>
          <w:b/>
          <w:color w:val="231F20"/>
          <w:sz w:val="20"/>
        </w:rPr>
        <w:t>Condensed</w:t>
      </w:r>
      <w:r>
        <w:rPr>
          <w:color w:val="231F20"/>
        </w:rPr>
        <w:t xml:space="preserve"> </w:t>
      </w:r>
      <w:r>
        <w:rPr>
          <w:rFonts w:ascii="Times New Roman;serif" w:hAnsi="Times New Roman;serif"/>
          <w:b/>
          <w:color w:val="231F20"/>
          <w:sz w:val="20"/>
        </w:rPr>
        <w:t>Consolidated</w:t>
      </w:r>
      <w:r>
        <w:rPr>
          <w:color w:val="231F20"/>
        </w:rPr>
        <w:t xml:space="preserve"> </w:t>
      </w:r>
      <w:r>
        <w:rPr>
          <w:rFonts w:ascii="Times New Roman;serif" w:hAnsi="Times New Roman;serif"/>
          <w:b/>
          <w:color w:val="231F20"/>
          <w:sz w:val="20"/>
        </w:rPr>
        <w:t>Financial</w:t>
      </w:r>
      <w:r>
        <w:rPr>
          <w:color w:val="231F20"/>
        </w:rPr>
        <w:t xml:space="preserve"> </w:t>
      </w:r>
      <w:r>
        <w:rPr>
          <w:rFonts w:ascii="Times New Roman;serif" w:hAnsi="Times New Roman;serif"/>
          <w:b/>
          <w:color w:val="231F20"/>
          <w:sz w:val="20"/>
        </w:rPr>
        <w:t xml:space="preserve">Statements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 except for share and per share amounts, ratios or as otherwise noted)</w:t>
      </w:r>
    </w:p>
    <w:p>
      <w:pPr>
        <w:pStyle w:val="TextBody"/>
        <w:bidi w:val="0"/>
        <w:spacing w:lineRule="auto" w:line="288" w:before="240" w:after="160"/>
        <w:ind w:left="0" w:right="0" w:hanging="540"/>
        <w:jc w:val="left"/>
        <w:rPr/>
      </w:pPr>
      <w:r>
        <w:rPr>
          <w:rFonts w:ascii="Times New Roman;serif" w:hAnsi="Times New Roman;serif"/>
          <w:b/>
          <w:color w:val="231F20"/>
          <w:sz w:val="20"/>
        </w:rPr>
        <w:t>Note 11 - Fair</w:t>
      </w:r>
      <w:r>
        <w:rPr>
          <w:color w:val="231F20"/>
        </w:rPr>
        <w:t xml:space="preserve"> </w:t>
      </w:r>
      <w:r>
        <w:rPr>
          <w:rFonts w:ascii="Times New Roman;serif" w:hAnsi="Times New Roman;serif"/>
          <w:b/>
          <w:color w:val="231F20"/>
          <w:sz w:val="20"/>
        </w:rPr>
        <w:t>Value</w:t>
      </w:r>
      <w:r>
        <w:rPr>
          <w:color w:val="231F20"/>
        </w:rPr>
        <w:t xml:space="preserve"> </w:t>
      </w:r>
      <w:r>
        <w:rPr>
          <w:rFonts w:ascii="Times New Roman;serif" w:hAnsi="Times New Roman;serif"/>
          <w:b/>
          <w:color w:val="231F20"/>
          <w:sz w:val="20"/>
        </w:rPr>
        <w:t>Measurement:</w:t>
      </w:r>
    </w:p>
    <w:p>
      <w:pPr>
        <w:pStyle w:val="TextBody"/>
        <w:bidi w:val="0"/>
        <w:spacing w:lineRule="auto" w:line="288" w:before="0" w:after="16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The carrying amounts and estimated fair values of the following assets and liabilities and where they are classified within the fair value hierarchy as of June 30, 2026 and December 31, 2025 are as follows: </w:t>
      </w:r>
    </w:p>
    <w:tbl>
      <w:tblPr>
        <w:tblW w:w="7141" w:type="dxa"/>
        <w:jc w:val="left"/>
        <w:tblInd w:w="0" w:type="dxa"/>
        <w:tblLayout w:type="fixed"/>
        <w:tblCellMar>
          <w:top w:w="28" w:type="dxa"/>
          <w:left w:w="28" w:type="dxa"/>
          <w:bottom w:w="28" w:type="dxa"/>
          <w:right w:w="28" w:type="dxa"/>
        </w:tblCellMar>
      </w:tblPr>
      <w:tblGrid>
        <w:gridCol w:w="890"/>
        <w:gridCol w:w="783"/>
        <w:gridCol w:w="786"/>
        <w:gridCol w:w="246"/>
        <w:gridCol w:w="475"/>
        <w:gridCol w:w="109"/>
        <w:gridCol w:w="109"/>
        <w:gridCol w:w="109"/>
        <w:gridCol w:w="109"/>
        <w:gridCol w:w="274"/>
        <w:gridCol w:w="528"/>
        <w:gridCol w:w="143"/>
        <w:gridCol w:w="109"/>
        <w:gridCol w:w="109"/>
        <w:gridCol w:w="109"/>
        <w:gridCol w:w="211"/>
        <w:gridCol w:w="616"/>
        <w:gridCol w:w="109"/>
        <w:gridCol w:w="109"/>
        <w:gridCol w:w="109"/>
        <w:gridCol w:w="109"/>
        <w:gridCol w:w="213"/>
        <w:gridCol w:w="622"/>
        <w:gridCol w:w="155"/>
      </w:tblGrid>
      <w:tr>
        <w:trPr/>
        <w:tc>
          <w:tcPr>
            <w:tcW w:w="89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Fair </w:t>
              <w:br/>
              <w:t>value</w:t>
            </w:r>
          </w:p>
        </w:tc>
        <w:tc>
          <w:tcPr>
            <w:tcW w:w="327" w:type="dxa"/>
            <w:gridSpan w:val="3"/>
            <w:tcBorders>
              <w:top w:val="single" w:sz="4"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Carrying </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Fair </w:t>
              <w:br/>
              <w:t>value</w:t>
            </w:r>
          </w:p>
        </w:tc>
        <w:tc>
          <w:tcPr>
            <w:tcW w:w="327" w:type="dxa"/>
            <w:gridSpan w:val="3"/>
            <w:tcBorders>
              <w:top w:val="single" w:sz="4"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Carrying </w:t>
              <w:br/>
              <w:t>amount</w:t>
            </w:r>
          </w:p>
        </w:tc>
      </w:tr>
      <w:tr>
        <w:trPr/>
        <w:tc>
          <w:tcPr>
            <w:tcW w:w="2459" w:type="dxa"/>
            <w:gridSpan w:val="3"/>
            <w:tcBorders/>
            <w:shd w:fill="CCED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Warrant liabilities – Level 3</w:t>
            </w:r>
            <w:r>
              <w:rPr>
                <w:color w:val="000000"/>
              </w:rPr>
              <w:t xml:space="preserve"> </w:t>
            </w:r>
          </w:p>
        </w:tc>
        <w:tc>
          <w:tcPr>
            <w:tcW w:w="246"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1,874 </w:t>
            </w:r>
          </w:p>
        </w:tc>
        <w:tc>
          <w:tcPr>
            <w:tcW w:w="15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SIF Loan – Level 3</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FedDev Loan – Level 2</w:t>
            </w:r>
          </w:p>
        </w:tc>
        <w:tc>
          <w:tcPr>
            <w:tcW w:w="72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2,371 </w:t>
            </w:r>
          </w:p>
        </w:tc>
        <w:tc>
          <w:tcPr>
            <w:tcW w:w="14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2,462 </w:t>
            </w:r>
          </w:p>
        </w:tc>
        <w:tc>
          <w:tcPr>
            <w:tcW w:w="15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Derivative asset - Level 3 </w:t>
            </w:r>
            <w:r>
              <w:rPr>
                <w:rFonts w:ascii="Times New Roman;serif" w:hAnsi="Times New Roman;serif"/>
                <w:b w:val="false"/>
                <w:color w:val="000000"/>
                <w:sz w:val="13"/>
              </w:rPr>
              <w:t>(1)</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360"/>
        <w:jc w:val="both"/>
        <w:rPr/>
      </w:pPr>
      <w:r>
        <w:rPr>
          <w:rFonts w:ascii="Times New Roman;serif" w:hAnsi="Times New Roman;serif"/>
          <w:b w:val="false"/>
          <w:color w:val="231F20"/>
          <w:sz w:val="13"/>
        </w:rPr>
        <w:t xml:space="preserve">(1) </w:t>
      </w:r>
      <w:r>
        <w:rPr>
          <w:rFonts w:ascii="Times New Roman;serif" w:hAnsi="Times New Roman;serif"/>
          <w:b w:val="false"/>
          <w:color w:val="231F20"/>
          <w:sz w:val="20"/>
        </w:rPr>
        <w:t xml:space="preserve">Refer to Note 13 for information related to this derivative asset. </w:t>
      </w:r>
    </w:p>
    <w:p>
      <w:pPr>
        <w:pStyle w:val="TextBody"/>
        <w:bidi w:val="0"/>
        <w:spacing w:lineRule="auto" w:line="240" w:before="17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The following summarizes the change in fair value of the Company’s warrant liability, Earn-Out Share liabilities, and derivative asset for the six months ended June 30, 2026: </w:t>
      </w:r>
    </w:p>
    <w:tbl>
      <w:tblPr>
        <w:tblW w:w="10205" w:type="dxa"/>
        <w:jc w:val="left"/>
        <w:tblInd w:w="0" w:type="dxa"/>
        <w:tblLayout w:type="fixed"/>
        <w:tblCellMar>
          <w:top w:w="28" w:type="dxa"/>
          <w:left w:w="28" w:type="dxa"/>
          <w:bottom w:w="28" w:type="dxa"/>
          <w:right w:w="28" w:type="dxa"/>
        </w:tblCellMar>
      </w:tblPr>
      <w:tblGrid>
        <w:gridCol w:w="1560"/>
        <w:gridCol w:w="1188"/>
        <w:gridCol w:w="1192"/>
        <w:gridCol w:w="109"/>
        <w:gridCol w:w="109"/>
        <w:gridCol w:w="109"/>
        <w:gridCol w:w="274"/>
        <w:gridCol w:w="802"/>
        <w:gridCol w:w="141"/>
        <w:gridCol w:w="109"/>
        <w:gridCol w:w="109"/>
        <w:gridCol w:w="109"/>
        <w:gridCol w:w="458"/>
        <w:gridCol w:w="882"/>
        <w:gridCol w:w="237"/>
        <w:gridCol w:w="109"/>
        <w:gridCol w:w="109"/>
        <w:gridCol w:w="109"/>
        <w:gridCol w:w="257"/>
        <w:gridCol w:w="771"/>
        <w:gridCol w:w="132"/>
        <w:gridCol w:w="109"/>
        <w:gridCol w:w="109"/>
        <w:gridCol w:w="109"/>
        <w:gridCol w:w="211"/>
        <w:gridCol w:w="631"/>
        <w:gridCol w:w="161"/>
      </w:tblGrid>
      <w:tr>
        <w:trPr/>
        <w:tc>
          <w:tcPr>
            <w:tcW w:w="1560"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Warrant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Earn-out Share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Derivative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231F20"/>
                <w:sz w:val="20"/>
              </w:rPr>
            </w:pPr>
            <w:r>
              <w:rPr>
                <w:rFonts w:ascii="Times New Roman;serif" w:hAnsi="Times New Roman;serif"/>
                <w:b/>
                <w:color w:val="231F20"/>
                <w:sz w:val="20"/>
              </w:rPr>
              <w:t>Fair value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2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3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1,874 </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0" w:type="dxa"/>
            <w:gridSpan w:val="3"/>
            <w:tcBorders/>
            <w:shd w:fill="FFFF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val="false"/>
                <w:color w:val="231F20"/>
                <w:sz w:val="20"/>
              </w:rPr>
            </w:pPr>
            <w:r>
              <w:rPr>
                <w:rFonts w:ascii="Times New Roman;serif" w:hAnsi="Times New Roman;serif"/>
                <w:b w:val="false"/>
                <w:color w:val="231F20"/>
                <w:sz w:val="20"/>
              </w:rPr>
              <w:t>Establishment of asset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9,997 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1,350 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11,347 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0" w:type="dxa"/>
            <w:gridSpan w:val="3"/>
            <w:tcBorders/>
            <w:shd w:fill="CCEEFF" w:val="clear"/>
            <w:tcMar>
              <w:top w:w="0" w:type="dxa"/>
              <w:left w:w="0" w:type="dxa"/>
              <w:bottom w:w="0" w:type="dxa"/>
              <w:right w:w="0" w:type="dxa"/>
            </w:tcMar>
            <w:vAlign w:val="center"/>
          </w:tcPr>
          <w:p>
            <w:pPr>
              <w:pStyle w:val="TableContents"/>
              <w:bidi w:val="0"/>
              <w:spacing w:lineRule="atLeast" w:line="217" w:before="0" w:after="0"/>
              <w:jc w:val="left"/>
              <w:rPr/>
            </w:pPr>
            <w:r>
              <w:rPr>
                <w:rFonts w:ascii="Times New Roman;serif" w:hAnsi="Times New Roman;serif"/>
                <w:b w:val="false"/>
                <w:color w:val="231F20"/>
                <w:sz w:val="20"/>
              </w:rPr>
              <w:t>Change in estimated fair value, net of changes in foreign exchange rates</w:t>
            </w:r>
            <w:r>
              <w:rPr>
                <w:color w:val="231F20"/>
              </w:rPr>
              <w:t xml:space="preserve"> </w:t>
            </w:r>
            <w:r>
              <w:rPr>
                <w:rFonts w:ascii="Times New Roman;serif" w:hAnsi="Times New Roman;serif"/>
                <w:b w:val="false"/>
                <w:color w:val="231F2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7,764 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(246)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8,413 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0" w:type="dxa"/>
            <w:gridSpan w:val="3"/>
            <w:tcBorders/>
            <w:shd w:fill="FFFF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val="false"/>
                <w:color w:val="231F20"/>
                <w:sz w:val="20"/>
              </w:rPr>
            </w:pPr>
            <w:r>
              <w:rPr>
                <w:rFonts w:ascii="Times New Roman;serif" w:hAnsi="Times New Roman;serif"/>
                <w:b w:val="false"/>
                <w:color w:val="231F20"/>
                <w:sz w:val="20"/>
              </w:rPr>
              <w:t>Reclassification of liability to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(17,761)</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(20,530)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CCEE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color w:val="231F20"/>
                <w:sz w:val="20"/>
              </w:rPr>
            </w:pPr>
            <w:r>
              <w:rPr>
                <w:rFonts w:ascii="Times New Roman;serif" w:hAnsi="Times New Roman;serif"/>
                <w:b/>
                <w:color w:val="231F20"/>
                <w:sz w:val="20"/>
              </w:rPr>
              <w:t>Fair value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231F20"/>
              </w:rPr>
            </w:pPr>
            <w:r>
              <w:rPr>
                <w:color w:val="231F20"/>
              </w:rPr>
              <w:t>—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1,104</w:t>
            </w:r>
            <w:r>
              <w:rPr>
                <w:color w:val="231F20"/>
              </w:rPr>
              <w:t>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1,104</w:t>
            </w:r>
            <w:r>
              <w:rPr>
                <w:color w:val="231F20"/>
              </w:rPr>
              <w:t>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360"/>
        <w:jc w:val="both"/>
        <w:rPr/>
      </w:pPr>
      <w:r>
        <w:rPr>
          <w:rFonts w:ascii="Times New Roman;serif" w:hAnsi="Times New Roman;serif"/>
          <w:b w:val="false"/>
          <w:color w:val="231F20"/>
          <w:sz w:val="13"/>
        </w:rPr>
        <w:t xml:space="preserve">(1) </w:t>
      </w:r>
      <w:r>
        <w:rPr>
          <w:rFonts w:ascii="Times New Roman;serif" w:hAnsi="Times New Roman;serif"/>
          <w:b w:val="false"/>
          <w:color w:val="231F20"/>
          <w:sz w:val="20"/>
        </w:rPr>
        <w:t xml:space="preserve">Changes in fair value of warrant liabilities have been recognized within other operating income, net on the consolidated statement of operations and comprehensive loss. Changes in derivative assets and earn-out liabilities have been recognized in loss on derivative instruments, net and loss on fair value of earn-out share liabilities, net respectively in the consolidated statements of operations and comprehensive loss. In addition to the above, during the three and six months ended </w:t>
      </w:r>
      <w:r>
        <w:rPr>
          <w:rFonts w:ascii="Times New Roman;serif" w:hAnsi="Times New Roman;serif"/>
          <w:b w:val="false"/>
          <w:color w:val="000000"/>
          <w:sz w:val="20"/>
        </w:rPr>
        <w:t xml:space="preserve">June 30, 2026, </w:t>
      </w:r>
      <w:r>
        <w:rPr>
          <w:rFonts w:ascii="Times New Roman;serif" w:hAnsi="Times New Roman;serif"/>
          <w:b w:val="false"/>
          <w:color w:val="231F20"/>
          <w:sz w:val="20"/>
        </w:rPr>
        <w:t xml:space="preserve">we recorded a loss of $1,661 on forward contracts related to the SATM. There were no forward contracts outstanding as of </w:t>
      </w:r>
      <w:r>
        <w:rPr>
          <w:rFonts w:ascii="Times New Roman;serif" w:hAnsi="Times New Roman;serif"/>
          <w:b w:val="false"/>
          <w:color w:val="000000"/>
          <w:sz w:val="20"/>
        </w:rPr>
        <w:t>June 30, 2026</w:t>
      </w:r>
      <w:r>
        <w:rPr>
          <w:rFonts w:ascii="Times New Roman;serif" w:hAnsi="Times New Roman;serif"/>
          <w:b w:val="false"/>
          <w:color w:val="231F20"/>
          <w:sz w:val="20"/>
        </w:rPr>
        <w:t xml:space="preserve">. </w:t>
      </w:r>
    </w:p>
    <w:p>
      <w:pPr>
        <w:pStyle w:val="TextBody"/>
        <w:bidi w:val="0"/>
        <w:spacing w:lineRule="auto" w:line="288" w:before="120" w:after="120"/>
        <w:ind w:left="0" w:right="0" w:firstLine="270"/>
        <w:jc w:val="both"/>
        <w:rPr>
          <w:rFonts w:ascii="Times New Roman;serif" w:hAnsi="Times New Roman;serif"/>
          <w:b w:val="false"/>
          <w:color w:val="231F20"/>
          <w:sz w:val="20"/>
        </w:rPr>
      </w:pPr>
      <w:r>
        <w:rPr>
          <w:rFonts w:ascii="Times New Roman;serif" w:hAnsi="Times New Roman;serif"/>
          <w:b w:val="false"/>
          <w:color w:val="231F20"/>
          <w:sz w:val="20"/>
        </w:rPr>
        <w:t>The fair values of the Company’s long-term debt, including the SIF Loan and FedDev Loan, are estimated based on discounting future cash flows at currently available interest rates with comparable terms. The fair value measurement of the SIF Loan is considered a Level 3 valuation as it is based on a significant unobservable input related to the projected timing and amount of future revenues which determine expected future repayments.</w:t>
      </w:r>
    </w:p>
    <w:p>
      <w:pPr>
        <w:pStyle w:val="TextBody"/>
        <w:bidi w:val="0"/>
        <w:spacing w:lineRule="auto" w:line="288" w:before="0" w:after="160"/>
        <w:ind w:left="0" w:right="0" w:hanging="360"/>
        <w:jc w:val="both"/>
        <w:rPr>
          <w:rFonts w:ascii="Times New Roman;serif" w:hAnsi="Times New Roman;serif"/>
          <w:b/>
          <w:i/>
          <w:color w:val="231F20"/>
          <w:sz w:val="20"/>
        </w:rPr>
      </w:pPr>
      <w:r>
        <w:rPr>
          <w:rFonts w:ascii="Times New Roman;serif" w:hAnsi="Times New Roman;serif"/>
          <w:b/>
          <w:i/>
          <w:color w:val="231F20"/>
          <w:sz w:val="20"/>
        </w:rPr>
        <w:t>Valuation of the Earn-out Share Liability</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ASC 815, unvested Earn-out Shares are classified as a liability if they do not meet the criteria to be considered indexed to the Company’s common shares. During the second quarter of 2026, the Earn-out Shares became fully vested and were no longer subject to forfeiture. Tranche 1 (550,000 shares) and Tranche 2 (550,000 shares) achieved their target price milestones and therefore became fully vested on May 7, 2026, and May 13, 2026, respectively. Consequently, the Earn-out Shares were remeasured to their fair value on these dates, and the final fair value adjustment was recognized in loss on the fair value of earn-out liabilities, net on the consolidated statement of operations and comprehensive loss. Following this final remeasurement, the corresponding liability balance was reclassified to shareholders’ equity on the consolidated balance sheet. As of June 30, 2026, the Earn-out Shares are included in share capital and no longer classified as a liability.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16840"/>
                <wp:effectExtent l="0" t="0" r="0" b="0"/>
                <wp:wrapNone/>
                <wp:docPr id="40" name="Frame3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29</w:t>
                      </w:r>
                    </w:p>
                  </w:txbxContent>
                </v:textbox>
                <w10:wrap type="none"/>
              </v:rect>
            </w:pict>
          </mc:Fallback>
        </mc:AlternateContent>
      </w:r>
    </w:p>
    <w:p>
      <w:pPr>
        <w:pStyle w:val="TextBody"/>
        <w:bidi w:val="0"/>
        <w:spacing w:lineRule="auto" w:line="288" w:before="0" w:after="0"/>
        <w:ind w:left="0" w:right="0" w:hanging="117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pPr>
      <w:r>
        <w:rPr>
          <w:rFonts w:ascii="Times New Roman;serif" w:hAnsi="Times New Roman;serif"/>
          <w:b/>
          <w:color w:val="231F20"/>
          <w:sz w:val="20"/>
        </w:rPr>
        <w:t>XANADU</w:t>
      </w:r>
      <w:r>
        <w:rPr>
          <w:color w:val="231F20"/>
        </w:rPr>
        <w:t xml:space="preserve"> </w:t>
      </w:r>
      <w:r>
        <w:rPr>
          <w:rFonts w:ascii="Times New Roman;serif" w:hAnsi="Times New Roman;serif"/>
          <w:b/>
          <w:color w:val="231F20"/>
          <w:sz w:val="20"/>
        </w:rPr>
        <w:t>QUANTUM</w:t>
      </w:r>
      <w:r>
        <w:rPr>
          <w:color w:val="231F20"/>
        </w:rPr>
        <w:t xml:space="preserve"> </w:t>
      </w:r>
      <w:r>
        <w:rPr>
          <w:rFonts w:ascii="Times New Roman;serif" w:hAnsi="Times New Roman;serif"/>
          <w:b/>
          <w:color w:val="231F20"/>
          <w:sz w:val="20"/>
        </w:rPr>
        <w:t>TECHNOLOGIES LIMITED</w:t>
      </w:r>
    </w:p>
    <w:p>
      <w:pPr>
        <w:pStyle w:val="TextBody"/>
        <w:bidi w:val="0"/>
        <w:spacing w:lineRule="auto" w:line="288" w:before="0" w:after="0"/>
        <w:jc w:val="center"/>
        <w:rPr/>
      </w:pPr>
      <w:r>
        <w:rPr>
          <w:rFonts w:ascii="Times New Roman;serif" w:hAnsi="Times New Roman;serif"/>
          <w:b/>
          <w:color w:val="231F20"/>
          <w:sz w:val="20"/>
        </w:rPr>
        <w:t>Notes</w:t>
      </w:r>
      <w:r>
        <w:rPr>
          <w:color w:val="231F20"/>
        </w:rPr>
        <w:t xml:space="preserve"> </w:t>
      </w:r>
      <w:r>
        <w:rPr>
          <w:rFonts w:ascii="Times New Roman;serif" w:hAnsi="Times New Roman;serif"/>
          <w:b/>
          <w:color w:val="231F20"/>
          <w:sz w:val="20"/>
        </w:rPr>
        <w:t>to</w:t>
      </w:r>
      <w:r>
        <w:rPr>
          <w:color w:val="231F20"/>
        </w:rPr>
        <w:t xml:space="preserve"> </w:t>
      </w:r>
      <w:r>
        <w:rPr>
          <w:rFonts w:ascii="Times New Roman;serif" w:hAnsi="Times New Roman;serif"/>
          <w:b/>
          <w:color w:val="231F20"/>
          <w:sz w:val="20"/>
        </w:rPr>
        <w:t>the</w:t>
      </w:r>
      <w:r>
        <w:rPr>
          <w:color w:val="231F20"/>
        </w:rPr>
        <w:t xml:space="preserve"> </w:t>
      </w:r>
      <w:r>
        <w:rPr>
          <w:rFonts w:ascii="Times New Roman;serif" w:hAnsi="Times New Roman;serif"/>
          <w:b/>
          <w:color w:val="231F20"/>
          <w:sz w:val="20"/>
        </w:rPr>
        <w:t>Condensed</w:t>
      </w:r>
      <w:r>
        <w:rPr>
          <w:color w:val="231F20"/>
        </w:rPr>
        <w:t xml:space="preserve"> </w:t>
      </w:r>
      <w:r>
        <w:rPr>
          <w:rFonts w:ascii="Times New Roman;serif" w:hAnsi="Times New Roman;serif"/>
          <w:b/>
          <w:color w:val="231F20"/>
          <w:sz w:val="20"/>
        </w:rPr>
        <w:t>Consolidated</w:t>
      </w:r>
      <w:r>
        <w:rPr>
          <w:color w:val="231F20"/>
        </w:rPr>
        <w:t xml:space="preserve"> </w:t>
      </w:r>
      <w:r>
        <w:rPr>
          <w:rFonts w:ascii="Times New Roman;serif" w:hAnsi="Times New Roman;serif"/>
          <w:b/>
          <w:color w:val="231F20"/>
          <w:sz w:val="20"/>
        </w:rPr>
        <w:t>Financial</w:t>
      </w:r>
      <w:r>
        <w:rPr>
          <w:color w:val="231F20"/>
        </w:rPr>
        <w:t xml:space="preserve"> </w:t>
      </w:r>
      <w:r>
        <w:rPr>
          <w:rFonts w:ascii="Times New Roman;serif" w:hAnsi="Times New Roman;serif"/>
          <w:b/>
          <w:color w:val="231F20"/>
          <w:sz w:val="20"/>
        </w:rPr>
        <w:t xml:space="preserve">Statements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 except for share and per share amounts, ratios or as otherwise noted)</w:t>
      </w:r>
    </w:p>
    <w:p>
      <w:pPr>
        <w:pStyle w:val="TextBody"/>
        <w:bidi w:val="0"/>
        <w:spacing w:before="0" w:after="0"/>
        <w:jc w:val="center"/>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utilized a Monte Carlo simulation model to determine the fair value of the earn-out share liabilities at closing of the Reverse Recapitalization, at each subsequent reporting period, and immediately prior to vesting.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significant inputs:</w:t>
      </w:r>
    </w:p>
    <w:tbl>
      <w:tblPr>
        <w:tblW w:w="10205" w:type="dxa"/>
        <w:jc w:val="left"/>
        <w:tblInd w:w="0" w:type="dxa"/>
        <w:tblLayout w:type="fixed"/>
        <w:tblCellMar>
          <w:top w:w="28" w:type="dxa"/>
          <w:left w:w="28" w:type="dxa"/>
          <w:bottom w:w="28" w:type="dxa"/>
          <w:right w:w="28" w:type="dxa"/>
        </w:tblCellMar>
      </w:tblPr>
      <w:tblGrid>
        <w:gridCol w:w="820"/>
        <w:gridCol w:w="713"/>
        <w:gridCol w:w="716"/>
        <w:gridCol w:w="299"/>
        <w:gridCol w:w="868"/>
        <w:gridCol w:w="381"/>
        <w:gridCol w:w="109"/>
        <w:gridCol w:w="109"/>
        <w:gridCol w:w="109"/>
        <w:gridCol w:w="538"/>
        <w:gridCol w:w="1572"/>
        <w:gridCol w:w="691"/>
        <w:gridCol w:w="109"/>
        <w:gridCol w:w="109"/>
        <w:gridCol w:w="109"/>
        <w:gridCol w:w="544"/>
        <w:gridCol w:w="1590"/>
        <w:gridCol w:w="819"/>
      </w:tblGrid>
      <w:tr>
        <w:trPr/>
        <w:tc>
          <w:tcPr>
            <w:tcW w:w="82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At Closing</w:t>
              <w:br/>
              <w:t>(March 26,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Tranche 1 Vesting (May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Tranche 2 Vesting (May 13, 2026)</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subject to fair value</w:t>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1,100,000 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550,000 </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550,000 </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Share price </w:t>
            </w:r>
            <w:r>
              <w:rPr>
                <w:rFonts w:ascii="Times New Roman;serif" w:hAnsi="Times New Roman;serif"/>
                <w:b w:val="false"/>
                <w:color w:val="000000"/>
                <w:sz w:val="13"/>
              </w:rPr>
              <w:t>(1)</w:t>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term (in years)</w:t>
            </w:r>
          </w:p>
        </w:tc>
        <w:tc>
          <w:tcPr>
            <w:tcW w:w="1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9,997 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9,562 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8,199 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Share price for May 7, 2026 and May 13, 2026 reflects the forfeiture hurdle share price achieved for the 20 out of 30 consecutive trading days. </w:t>
      </w:r>
    </w:p>
    <w:p>
      <w:pPr>
        <w:pStyle w:val="TextBody"/>
        <w:bidi w:val="0"/>
        <w:spacing w:before="17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hanging="480"/>
        <w:jc w:val="left"/>
        <w:rPr/>
      </w:pPr>
      <w:r>
        <w:rPr>
          <w:rFonts w:ascii="Times New Roman;serif" w:hAnsi="Times New Roman;serif"/>
          <w:b/>
          <w:color w:val="231F20"/>
          <w:sz w:val="20"/>
        </w:rPr>
        <w:t>Note 12 - Revenue</w:t>
      </w:r>
      <w:r>
        <w:rPr>
          <w:color w:val="231F20"/>
        </w:rPr>
        <w:t xml:space="preserve"> </w:t>
      </w:r>
      <w:r>
        <w:rPr>
          <w:rFonts w:ascii="Times New Roman;serif" w:hAnsi="Times New Roman;serif"/>
          <w:b/>
          <w:color w:val="231F20"/>
          <w:sz w:val="20"/>
        </w:rPr>
        <w:t>Recognition:</w:t>
      </w:r>
    </w:p>
    <w:p>
      <w:pPr>
        <w:pStyle w:val="TextBody"/>
        <w:bidi w:val="0"/>
        <w:spacing w:lineRule="auto" w:line="288" w:before="0" w:after="160"/>
        <w:ind w:left="0" w:right="0" w:hanging="360"/>
        <w:jc w:val="left"/>
        <w:rPr/>
      </w:pPr>
      <w:r>
        <w:rPr>
          <w:rFonts w:ascii="Times New Roman;serif" w:hAnsi="Times New Roman;serif"/>
          <w:b/>
          <w:i/>
          <w:color w:val="231F20"/>
          <w:sz w:val="20"/>
        </w:rPr>
        <w:t>Disaggregation</w:t>
      </w:r>
      <w:r>
        <w:rPr>
          <w:color w:val="231F20"/>
        </w:rPr>
        <w:t xml:space="preserve"> </w:t>
      </w:r>
      <w:r>
        <w:rPr>
          <w:rFonts w:ascii="Times New Roman;serif" w:hAnsi="Times New Roman;serif"/>
          <w:b/>
          <w:i/>
          <w:color w:val="231F20"/>
          <w:sz w:val="20"/>
        </w:rPr>
        <w:t>of revenue</w:t>
      </w:r>
    </w:p>
    <w:p>
      <w:pPr>
        <w:pStyle w:val="TextBody"/>
        <w:bidi w:val="0"/>
        <w:spacing w:lineRule="auto" w:line="288" w:before="0" w:after="160"/>
        <w:ind w:left="0" w:right="0" w:firstLine="360"/>
        <w:jc w:val="both"/>
        <w:rPr/>
      </w:pPr>
      <w:r>
        <w:rPr>
          <w:rFonts w:ascii="Times New Roman;serif" w:hAnsi="Times New Roman;serif"/>
          <w:b w:val="false"/>
          <w:color w:val="231F20"/>
          <w:sz w:val="20"/>
        </w:rPr>
        <w:t xml:space="preserve">The Company’s revenue disaggregated by revenue source is as follows for the </w:t>
      </w:r>
      <w:r>
        <w:rPr>
          <w:rFonts w:ascii="Times New Roman;serif" w:hAnsi="Times New Roman;serif"/>
          <w:b w:val="false"/>
          <w:color w:val="000000"/>
          <w:sz w:val="20"/>
        </w:rPr>
        <w:t>three and six months ended</w:t>
      </w:r>
      <w:r>
        <w:rPr>
          <w:color w:val="231F20"/>
        </w:rPr>
        <w:t xml:space="preserve"> </w:t>
      </w:r>
      <w:r>
        <w:rPr>
          <w:rFonts w:ascii="Times New Roman;serif" w:hAnsi="Times New Roman;serif"/>
          <w:b w:val="false"/>
          <w:color w:val="231F20"/>
          <w:sz w:val="20"/>
        </w:rPr>
        <w:t>June 30, 2026 and 2025:</w:t>
      </w:r>
    </w:p>
    <w:tbl>
      <w:tblPr>
        <w:tblW w:w="7199" w:type="dxa"/>
        <w:jc w:val="left"/>
        <w:tblInd w:w="0" w:type="dxa"/>
        <w:tblLayout w:type="fixed"/>
        <w:tblCellMar>
          <w:top w:w="28" w:type="dxa"/>
          <w:left w:w="28" w:type="dxa"/>
          <w:bottom w:w="28" w:type="dxa"/>
          <w:right w:w="28" w:type="dxa"/>
        </w:tblCellMar>
      </w:tblPr>
      <w:tblGrid>
        <w:gridCol w:w="857"/>
        <w:gridCol w:w="755"/>
        <w:gridCol w:w="757"/>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54"/>
      </w:tblGrid>
      <w:tr>
        <w:trPr/>
        <w:tc>
          <w:tcPr>
            <w:tcW w:w="85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20"/>
              </w:rPr>
            </w:pPr>
            <w:r>
              <w:rPr>
                <w:rFonts w:ascii="Times New Roman;serif" w:hAnsi="Times New Roman;serif"/>
                <w:b/>
                <w:color w:val="231F2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20"/>
              </w:rPr>
            </w:pPr>
            <w:r>
              <w:rPr>
                <w:rFonts w:ascii="Times New Roman;serif" w:hAnsi="Times New Roman;serif"/>
                <w:b/>
                <w:color w:val="231F20"/>
                <w:sz w:val="20"/>
              </w:rPr>
              <w:t>Six months ended</w:t>
              <w:br/>
              <w:t>June 30,</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20"/>
              </w:rPr>
            </w:pPr>
            <w:r>
              <w:rPr>
                <w:rFonts w:ascii="Times New Roman;serif" w:hAnsi="Times New Roman;serif"/>
                <w:b/>
                <w:color w:val="231F20"/>
                <w:sz w:val="20"/>
              </w:rPr>
              <w:t>2026</w:t>
            </w:r>
          </w:p>
        </w:tc>
        <w:tc>
          <w:tcPr>
            <w:tcW w:w="327" w:type="dxa"/>
            <w:gridSpan w:val="3"/>
            <w:tcBorders>
              <w:top w:val="single" w:sz="4"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20"/>
              </w:rPr>
            </w:pPr>
            <w:r>
              <w:rPr>
                <w:rFonts w:ascii="Times New Roman;serif" w:hAnsi="Times New Roman;serif"/>
                <w:b/>
                <w:color w:val="231F2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20"/>
              </w:rPr>
            </w:pPr>
            <w:r>
              <w:rPr>
                <w:rFonts w:ascii="Times New Roman;serif" w:hAnsi="Times New Roman;serif"/>
                <w:b/>
                <w:color w:val="231F20"/>
                <w:sz w:val="20"/>
              </w:rPr>
              <w:t>2026</w:t>
            </w:r>
          </w:p>
        </w:tc>
        <w:tc>
          <w:tcPr>
            <w:tcW w:w="327" w:type="dxa"/>
            <w:gridSpan w:val="3"/>
            <w:tcBorders>
              <w:top w:val="single" w:sz="4"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20"/>
              </w:rPr>
            </w:pPr>
            <w:r>
              <w:rPr>
                <w:rFonts w:ascii="Times New Roman;serif" w:hAnsi="Times New Roman;serif"/>
                <w:b/>
                <w:color w:val="231F20"/>
                <w:sz w:val="20"/>
              </w:rPr>
              <w:t>2025</w:t>
            </w:r>
          </w:p>
        </w:tc>
      </w:tr>
      <w:tr>
        <w:trPr/>
        <w:tc>
          <w:tcPr>
            <w:tcW w:w="236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Professional services</w:t>
            </w:r>
          </w:p>
        </w:tc>
        <w:tc>
          <w:tcPr>
            <w:tcW w:w="21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3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1,511 </w:t>
            </w:r>
          </w:p>
        </w:tc>
        <w:tc>
          <w:tcPr>
            <w:tcW w:w="109"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3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883 </w:t>
            </w:r>
          </w:p>
        </w:tc>
        <w:tc>
          <w:tcPr>
            <w:tcW w:w="109"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3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4,343 </w:t>
            </w:r>
          </w:p>
        </w:tc>
        <w:tc>
          <w:tcPr>
            <w:tcW w:w="109"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3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1,415 </w:t>
            </w:r>
          </w:p>
        </w:tc>
        <w:tc>
          <w:tcPr>
            <w:tcW w:w="154"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tLeast" w:line="229" w:before="0" w:after="283"/>
              <w:jc w:val="left"/>
              <w:rPr>
                <w:rFonts w:ascii="Times New Roman;serif" w:hAnsi="Times New Roman;serif"/>
                <w:b w:val="false"/>
                <w:color w:val="231F20"/>
                <w:sz w:val="20"/>
              </w:rPr>
            </w:pPr>
            <w:r>
              <w:rPr>
                <w:rFonts w:ascii="Times New Roman;serif" w:hAnsi="Times New Roman;serif"/>
                <w:b w:val="false"/>
                <w:color w:val="231F20"/>
                <w:sz w:val="20"/>
              </w:rPr>
              <w:t>Compute and other services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DFF" w:val="clear"/>
            <w:tcMar>
              <w:top w:w="0" w:type="dxa"/>
              <w:left w:w="0" w:type="dxa"/>
              <w:bottom w:w="0" w:type="dxa"/>
              <w:right w:w="0" w:type="dxa"/>
            </w:tcMar>
            <w:vAlign w:val="center"/>
          </w:tcPr>
          <w:p>
            <w:pPr>
              <w:pStyle w:val="TableContents"/>
              <w:bidi w:val="0"/>
              <w:spacing w:lineRule="atLeast" w:line="212" w:before="0" w:after="283"/>
              <w:jc w:val="left"/>
              <w:rPr>
                <w:rFonts w:ascii="Times New Roman;serif" w:hAnsi="Times New Roman;serif"/>
                <w:b/>
                <w:color w:val="231F20"/>
                <w:sz w:val="20"/>
              </w:rPr>
            </w:pPr>
            <w:r>
              <w:rPr>
                <w:rFonts w:ascii="Times New Roman;serif" w:hAnsi="Times New Roman;serif"/>
                <w:b/>
                <w:color w:val="231F20"/>
                <w:sz w:val="20"/>
              </w:rPr>
              <w:t>Total revenue</w:t>
            </w:r>
          </w:p>
        </w:tc>
        <w:tc>
          <w:tcPr>
            <w:tcW w:w="21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63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1,511</w:t>
            </w:r>
            <w:r>
              <w:rPr>
                <w:color w:val="231F20"/>
              </w:rPr>
              <w:t> </w:t>
            </w:r>
          </w:p>
        </w:tc>
        <w:tc>
          <w:tcPr>
            <w:tcW w:w="109"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63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1,057</w:t>
            </w:r>
            <w:r>
              <w:rPr>
                <w:color w:val="231F20"/>
              </w:rPr>
              <w:t> </w:t>
            </w:r>
          </w:p>
        </w:tc>
        <w:tc>
          <w:tcPr>
            <w:tcW w:w="109"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63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4,343</w:t>
            </w:r>
            <w:r>
              <w:rPr>
                <w:color w:val="231F20"/>
              </w:rPr>
              <w:t> </w:t>
            </w:r>
          </w:p>
        </w:tc>
        <w:tc>
          <w:tcPr>
            <w:tcW w:w="109"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63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1,755</w:t>
            </w:r>
            <w:r>
              <w:rPr>
                <w:color w:val="231F20"/>
              </w:rPr>
              <w:t> </w:t>
            </w:r>
          </w:p>
        </w:tc>
        <w:tc>
          <w:tcPr>
            <w:tcW w:w="154"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360"/>
        <w:jc w:val="both"/>
        <w:rPr/>
      </w:pP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following</w:t>
      </w:r>
      <w:r>
        <w:rPr>
          <w:color w:val="231F20"/>
        </w:rPr>
        <w:t xml:space="preserve"> </w:t>
      </w:r>
      <w:r>
        <w:rPr>
          <w:rFonts w:ascii="Times New Roman;serif" w:hAnsi="Times New Roman;serif"/>
          <w:b w:val="false"/>
          <w:color w:val="231F20"/>
          <w:sz w:val="20"/>
        </w:rPr>
        <w:t>summarizes</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Company’s</w:t>
      </w:r>
      <w:r>
        <w:rPr>
          <w:color w:val="231F20"/>
        </w:rPr>
        <w:t xml:space="preserve"> </w:t>
      </w:r>
      <w:r>
        <w:rPr>
          <w:rFonts w:ascii="Times New Roman;serif" w:hAnsi="Times New Roman;serif"/>
          <w:b w:val="false"/>
          <w:color w:val="231F20"/>
          <w:sz w:val="20"/>
        </w:rPr>
        <w:t>revenue</w:t>
      </w:r>
      <w:r>
        <w:rPr>
          <w:color w:val="231F20"/>
        </w:rPr>
        <w:t xml:space="preserve"> </w:t>
      </w:r>
      <w:r>
        <w:rPr>
          <w:rFonts w:ascii="Times New Roman;serif" w:hAnsi="Times New Roman;serif"/>
          <w:b w:val="false"/>
          <w:color w:val="231F20"/>
          <w:sz w:val="20"/>
        </w:rPr>
        <w:t>by</w:t>
      </w:r>
      <w:r>
        <w:rPr>
          <w:color w:val="231F20"/>
        </w:rPr>
        <w:t xml:space="preserve"> </w:t>
      </w:r>
      <w:r>
        <w:rPr>
          <w:rFonts w:ascii="Times New Roman;serif" w:hAnsi="Times New Roman;serif"/>
          <w:b w:val="false"/>
          <w:color w:val="231F20"/>
          <w:sz w:val="20"/>
        </w:rPr>
        <w:t>geography</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000000"/>
          <w:sz w:val="20"/>
        </w:rPr>
        <w:t>three and six months ended</w:t>
      </w:r>
      <w:r>
        <w:rPr>
          <w:color w:val="231F20"/>
        </w:rPr>
        <w:t xml:space="preserve"> </w:t>
      </w:r>
      <w:r>
        <w:rPr>
          <w:rFonts w:ascii="Times New Roman;serif" w:hAnsi="Times New Roman;serif"/>
          <w:b w:val="false"/>
          <w:color w:val="231F20"/>
          <w:sz w:val="20"/>
        </w:rPr>
        <w:t>June 30, 2026 and 2025, based on customer location:</w:t>
      </w:r>
    </w:p>
    <w:tbl>
      <w:tblPr>
        <w:tblW w:w="6254" w:type="dxa"/>
        <w:jc w:val="left"/>
        <w:tblInd w:w="0" w:type="dxa"/>
        <w:tblLayout w:type="fixed"/>
        <w:tblCellMar>
          <w:top w:w="28" w:type="dxa"/>
          <w:left w:w="28" w:type="dxa"/>
          <w:bottom w:w="28" w:type="dxa"/>
          <w:right w:w="28" w:type="dxa"/>
        </w:tblCellMar>
      </w:tblPr>
      <w:tblGrid>
        <w:gridCol w:w="515"/>
        <w:gridCol w:w="452"/>
        <w:gridCol w:w="457"/>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54"/>
      </w:tblGrid>
      <w:tr>
        <w:trPr/>
        <w:tc>
          <w:tcPr>
            <w:tcW w:w="51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Six months ended</w:t>
              <w:br/>
              <w:t>June 30,</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2026</w:t>
            </w:r>
          </w:p>
        </w:tc>
        <w:tc>
          <w:tcPr>
            <w:tcW w:w="327" w:type="dxa"/>
            <w:gridSpan w:val="3"/>
            <w:tcBorders>
              <w:top w:val="single" w:sz="4"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2026</w:t>
            </w:r>
          </w:p>
        </w:tc>
        <w:tc>
          <w:tcPr>
            <w:tcW w:w="327" w:type="dxa"/>
            <w:gridSpan w:val="3"/>
            <w:tcBorders>
              <w:top w:val="single" w:sz="4"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2025</w:t>
            </w:r>
          </w:p>
        </w:tc>
      </w:tr>
      <w:tr>
        <w:trPr/>
        <w:tc>
          <w:tcPr>
            <w:tcW w:w="1424" w:type="dxa"/>
            <w:gridSpan w:val="3"/>
            <w:tcBorders/>
            <w:shd w:fill="CCEDFF" w:val="clear"/>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val="false"/>
                <w:color w:val="231F20"/>
                <w:sz w:val="20"/>
              </w:rPr>
            </w:pPr>
            <w:r>
              <w:rPr>
                <w:rFonts w:ascii="Times New Roman;serif" w:hAnsi="Times New Roman;serif"/>
                <w:b w:val="false"/>
                <w:color w:val="231F20"/>
                <w:sz w:val="20"/>
              </w:rPr>
              <w:t>Canada</w:t>
            </w:r>
          </w:p>
        </w:tc>
        <w:tc>
          <w:tcPr>
            <w:tcW w:w="21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3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1 </w:t>
            </w:r>
          </w:p>
        </w:tc>
        <w:tc>
          <w:tcPr>
            <w:tcW w:w="109"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3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313 </w:t>
            </w:r>
          </w:p>
        </w:tc>
        <w:tc>
          <w:tcPr>
            <w:tcW w:w="109"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3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73 </w:t>
            </w:r>
          </w:p>
        </w:tc>
        <w:tc>
          <w:tcPr>
            <w:tcW w:w="109"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3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691 </w:t>
            </w:r>
          </w:p>
        </w:tc>
        <w:tc>
          <w:tcPr>
            <w:tcW w:w="154"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88" w:before="9" w:after="283"/>
              <w:jc w:val="left"/>
              <w:rPr>
                <w:rFonts w:ascii="Times New Roman;serif" w:hAnsi="Times New Roman;serif"/>
                <w:b w:val="false"/>
                <w:color w:val="231F20"/>
                <w:sz w:val="20"/>
              </w:rPr>
            </w:pPr>
            <w:r>
              <w:rPr>
                <w:rFonts w:ascii="Times New Roman;serif" w:hAnsi="Times New Roman;serif"/>
                <w:b w:val="false"/>
                <w:color w:val="231F20"/>
                <w:sz w:val="20"/>
              </w:rPr>
              <w:t>United States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DFF" w:val="clear"/>
            <w:tcMar>
              <w:top w:w="0" w:type="dxa"/>
              <w:left w:w="0" w:type="dxa"/>
              <w:bottom w:w="0" w:type="dxa"/>
              <w:right w:w="0" w:type="dxa"/>
            </w:tcMar>
            <w:vAlign w:val="center"/>
          </w:tcPr>
          <w:p>
            <w:pPr>
              <w:pStyle w:val="TableContents"/>
              <w:bidi w:val="0"/>
              <w:spacing w:lineRule="atLeast" w:line="229" w:before="9" w:after="283"/>
              <w:jc w:val="left"/>
              <w:rPr/>
            </w:pPr>
            <w:r>
              <w:rPr>
                <w:rFonts w:ascii="Times New Roman;serif" w:hAnsi="Times New Roman;serif"/>
                <w:b w:val="false"/>
                <w:color w:val="231F20"/>
                <w:sz w:val="20"/>
              </w:rPr>
              <w:t>Rest</w:t>
            </w:r>
            <w:r>
              <w:rPr>
                <w:color w:val="231F20"/>
              </w:rPr>
              <w:t xml:space="preserve"> </w:t>
            </w:r>
            <w:r>
              <w:rPr>
                <w:rFonts w:ascii="Times New Roman;serif" w:hAnsi="Times New Roman;serif"/>
                <w:b w:val="false"/>
                <w:color w:val="231F20"/>
                <w:sz w:val="20"/>
              </w:rPr>
              <w:t xml:space="preserve">of world </w:t>
            </w:r>
            <w:r>
              <w:rPr>
                <w:rFonts w:ascii="Times New Roman;serif" w:hAnsi="Times New Roman;serif"/>
                <w:b w:val="false"/>
                <w:color w:val="231F20"/>
                <w:sz w:val="13"/>
              </w:rPr>
              <w:t>(1)</w:t>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148 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396 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210 </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tLeast" w:line="212" w:before="10" w:after="283"/>
              <w:jc w:val="left"/>
              <w:rPr/>
            </w:pPr>
            <w:r>
              <w:rPr>
                <w:rFonts w:ascii="Times New Roman;serif" w:hAnsi="Times New Roman;serif"/>
                <w:b/>
                <w:color w:val="231F20"/>
                <w:sz w:val="20"/>
              </w:rPr>
              <w:t>Total</w:t>
            </w:r>
            <w:r>
              <w:rPr>
                <w:color w:val="231F20"/>
              </w:rPr>
              <w:t xml:space="preserve"> </w:t>
            </w:r>
            <w:r>
              <w:rPr>
                <w:rFonts w:ascii="Times New Roman;serif" w:hAnsi="Times New Roman;serif"/>
                <w:b/>
                <w:color w:val="231F20"/>
                <w:sz w:val="20"/>
              </w:rPr>
              <w:t>revenue</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63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1,511</w:t>
            </w:r>
            <w:r>
              <w:rPr>
                <w:color w:val="231F2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63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1,057</w:t>
            </w:r>
            <w:r>
              <w:rPr>
                <w:color w:val="231F2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63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4,343</w:t>
            </w:r>
            <w:r>
              <w:rPr>
                <w:color w:val="231F2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63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1,755</w:t>
            </w:r>
            <w:r>
              <w:rPr>
                <w:color w:val="231F20"/>
              </w:rPr>
              <w:t>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pPr>
      <w:r>
        <w:rPr>
          <w:rFonts w:ascii="Times New Roman;serif" w:hAnsi="Times New Roman;serif"/>
          <w:b w:val="false"/>
          <w:color w:val="231F20"/>
          <w:sz w:val="13"/>
        </w:rPr>
        <w:t>(1)</w:t>
      </w:r>
      <w:r>
        <w:rPr>
          <w:color w:val="231F20"/>
        </w:rPr>
        <w:t xml:space="preserve"> </w:t>
      </w:r>
      <w:r>
        <w:rPr>
          <w:rFonts w:ascii="Times New Roman;serif" w:hAnsi="Times New Roman;serif"/>
          <w:b w:val="false"/>
          <w:color w:val="231F20"/>
          <w:sz w:val="20"/>
        </w:rPr>
        <w:t>Rest</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world</w:t>
      </w:r>
      <w:r>
        <w:rPr>
          <w:color w:val="231F20"/>
        </w:rPr>
        <w:t xml:space="preserve"> </w:t>
      </w:r>
      <w:r>
        <w:rPr>
          <w:rFonts w:ascii="Times New Roman;serif" w:hAnsi="Times New Roman;serif"/>
          <w:b w:val="false"/>
          <w:color w:val="231F20"/>
          <w:sz w:val="20"/>
        </w:rPr>
        <w:t>includes</w:t>
      </w:r>
      <w:r>
        <w:rPr>
          <w:color w:val="231F20"/>
        </w:rPr>
        <w:t xml:space="preserve"> </w:t>
      </w:r>
      <w:r>
        <w:rPr>
          <w:rFonts w:ascii="Times New Roman;serif" w:hAnsi="Times New Roman;serif"/>
          <w:b w:val="false"/>
          <w:color w:val="231F20"/>
          <w:sz w:val="20"/>
        </w:rPr>
        <w:t>countries</w:t>
      </w:r>
      <w:r>
        <w:rPr>
          <w:color w:val="231F20"/>
        </w:rPr>
        <w:t xml:space="preserve"> </w:t>
      </w:r>
      <w:r>
        <w:rPr>
          <w:rFonts w:ascii="Times New Roman;serif" w:hAnsi="Times New Roman;serif"/>
          <w:b w:val="false"/>
          <w:color w:val="231F20"/>
          <w:sz w:val="20"/>
        </w:rPr>
        <w:t>where</w:t>
      </w:r>
      <w:r>
        <w:rPr>
          <w:color w:val="231F20"/>
        </w:rPr>
        <w:t xml:space="preserve"> </w:t>
      </w:r>
      <w:r>
        <w:rPr>
          <w:rFonts w:ascii="Times New Roman;serif" w:hAnsi="Times New Roman;serif"/>
          <w:b w:val="false"/>
          <w:color w:val="231F20"/>
          <w:sz w:val="20"/>
        </w:rPr>
        <w:t>revenue</w:t>
      </w:r>
      <w:r>
        <w:rPr>
          <w:color w:val="231F20"/>
        </w:rPr>
        <w:t xml:space="preserve"> </w:t>
      </w:r>
      <w:r>
        <w:rPr>
          <w:rFonts w:ascii="Times New Roman;serif" w:hAnsi="Times New Roman;serif"/>
          <w:b w:val="false"/>
          <w:color w:val="231F20"/>
          <w:sz w:val="20"/>
        </w:rPr>
        <w:t>from</w:t>
      </w:r>
      <w:r>
        <w:rPr>
          <w:color w:val="231F20"/>
        </w:rPr>
        <w:t xml:space="preserve"> </w:t>
      </w:r>
      <w:r>
        <w:rPr>
          <w:rFonts w:ascii="Times New Roman;serif" w:hAnsi="Times New Roman;serif"/>
          <w:b w:val="false"/>
          <w:color w:val="231F20"/>
          <w:sz w:val="20"/>
        </w:rPr>
        <w:t>a</w:t>
      </w:r>
      <w:r>
        <w:rPr>
          <w:color w:val="231F20"/>
        </w:rPr>
        <w:t xml:space="preserve"> </w:t>
      </w:r>
      <w:r>
        <w:rPr>
          <w:rFonts w:ascii="Times New Roman;serif" w:hAnsi="Times New Roman;serif"/>
          <w:b w:val="false"/>
          <w:color w:val="231F20"/>
          <w:sz w:val="20"/>
        </w:rPr>
        <w:t>single</w:t>
      </w:r>
      <w:r>
        <w:rPr>
          <w:color w:val="231F20"/>
        </w:rPr>
        <w:t xml:space="preserve"> </w:t>
      </w:r>
      <w:r>
        <w:rPr>
          <w:rFonts w:ascii="Times New Roman;serif" w:hAnsi="Times New Roman;serif"/>
          <w:b w:val="false"/>
          <w:color w:val="231F20"/>
          <w:sz w:val="20"/>
        </w:rPr>
        <w:t>country is not</w:t>
      </w:r>
      <w:r>
        <w:rPr>
          <w:color w:val="231F20"/>
        </w:rPr>
        <w:t xml:space="preserve"> </w:t>
      </w:r>
      <w:r>
        <w:rPr>
          <w:rFonts w:ascii="Times New Roman;serif" w:hAnsi="Times New Roman;serif"/>
          <w:b w:val="false"/>
          <w:color w:val="231F20"/>
          <w:sz w:val="20"/>
        </w:rPr>
        <w:t>greater</w:t>
      </w:r>
      <w:r>
        <w:rPr>
          <w:color w:val="231F20"/>
        </w:rPr>
        <w:t xml:space="preserve"> </w:t>
      </w:r>
      <w:r>
        <w:rPr>
          <w:rFonts w:ascii="Times New Roman;serif" w:hAnsi="Times New Roman;serif"/>
          <w:b w:val="false"/>
          <w:color w:val="231F20"/>
          <w:sz w:val="20"/>
        </w:rPr>
        <w:t>than</w:t>
      </w:r>
      <w:r>
        <w:rPr>
          <w:color w:val="231F20"/>
        </w:rPr>
        <w:t xml:space="preserve"> </w:t>
      </w:r>
      <w:r>
        <w:rPr>
          <w:rFonts w:ascii="Times New Roman;serif" w:hAnsi="Times New Roman;serif"/>
          <w:b w:val="false"/>
          <w:color w:val="231F20"/>
          <w:sz w:val="20"/>
        </w:rPr>
        <w:t>10%</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 xml:space="preserve">Company’s total consolidated revenue for the </w:t>
      </w:r>
      <w:r>
        <w:rPr>
          <w:rFonts w:ascii="Times New Roman;serif" w:hAnsi="Times New Roman;serif"/>
          <w:b w:val="false"/>
          <w:color w:val="000000"/>
          <w:sz w:val="20"/>
        </w:rPr>
        <w:t>three and six months ended</w:t>
      </w:r>
      <w:r>
        <w:rPr>
          <w:color w:val="231F20"/>
        </w:rPr>
        <w:t xml:space="preserve"> </w:t>
      </w:r>
      <w:r>
        <w:rPr>
          <w:rFonts w:ascii="Times New Roman;serif" w:hAnsi="Times New Roman;serif"/>
          <w:b w:val="false"/>
          <w:color w:val="231F20"/>
          <w:sz w:val="20"/>
        </w:rPr>
        <w:t>June 30, 2026 and 2025, respectively.</w:t>
      </w:r>
    </w:p>
    <w:p>
      <w:pPr>
        <w:pStyle w:val="TextBody"/>
        <w:bidi w:val="0"/>
        <w:spacing w:lineRule="auto" w:line="288" w:before="0" w:after="160"/>
        <w:ind w:left="0" w:right="0" w:hanging="360"/>
        <w:jc w:val="left"/>
        <w:rPr>
          <w:rFonts w:ascii="Times New Roman;serif" w:hAnsi="Times New Roman;serif"/>
          <w:b/>
          <w:i/>
          <w:color w:val="231F20"/>
          <w:sz w:val="20"/>
        </w:rPr>
      </w:pPr>
      <w:r>
        <w:rPr>
          <w:rFonts w:ascii="Times New Roman;serif" w:hAnsi="Times New Roman;serif"/>
          <w:b/>
          <w:i/>
          <w:color w:val="231F20"/>
          <w:sz w:val="20"/>
        </w:rPr>
        <w:t>Contract balances</w:t>
      </w:r>
    </w:p>
    <w:p>
      <w:pPr>
        <w:pStyle w:val="TextBody"/>
        <w:bidi w:val="0"/>
        <w:spacing w:lineRule="auto" w:line="288" w:before="0" w:after="16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Company had contract assets totaling $1,084 and $1,499 as of June 30, 2026 and December 31, 2025, respectively, which are included within accounts receivable in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16840"/>
                <wp:effectExtent l="0" t="0" r="0" b="0"/>
                <wp:wrapNone/>
                <wp:docPr id="41" name="Frame4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30</w:t>
                      </w:r>
                    </w:p>
                  </w:txbxContent>
                </v:textbox>
                <w10:wrap type="none"/>
              </v:rect>
            </w:pict>
          </mc:Fallback>
        </mc:AlternateContent>
      </w:r>
    </w:p>
    <w:p>
      <w:pPr>
        <w:pStyle w:val="TextBody"/>
        <w:bidi w:val="0"/>
        <w:spacing w:lineRule="auto" w:line="288" w:before="0" w:after="0"/>
        <w:ind w:left="0" w:right="0" w:hanging="117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pPr>
      <w:r>
        <w:rPr>
          <w:rFonts w:ascii="Times New Roman;serif" w:hAnsi="Times New Roman;serif"/>
          <w:b/>
          <w:color w:val="231F20"/>
          <w:sz w:val="20"/>
        </w:rPr>
        <w:t>XANADU</w:t>
      </w:r>
      <w:r>
        <w:rPr>
          <w:color w:val="231F20"/>
        </w:rPr>
        <w:t xml:space="preserve"> </w:t>
      </w:r>
      <w:r>
        <w:rPr>
          <w:rFonts w:ascii="Times New Roman;serif" w:hAnsi="Times New Roman;serif"/>
          <w:b/>
          <w:color w:val="231F20"/>
          <w:sz w:val="20"/>
        </w:rPr>
        <w:t>QUANTUM</w:t>
      </w:r>
      <w:r>
        <w:rPr>
          <w:color w:val="231F20"/>
        </w:rPr>
        <w:t xml:space="preserve"> </w:t>
      </w:r>
      <w:r>
        <w:rPr>
          <w:rFonts w:ascii="Times New Roman;serif" w:hAnsi="Times New Roman;serif"/>
          <w:b/>
          <w:color w:val="231F20"/>
          <w:sz w:val="20"/>
        </w:rPr>
        <w:t>TECHNOLOGIES LIMITED</w:t>
      </w:r>
    </w:p>
    <w:p>
      <w:pPr>
        <w:pStyle w:val="TextBody"/>
        <w:bidi w:val="0"/>
        <w:spacing w:lineRule="auto" w:line="288" w:before="0" w:after="0"/>
        <w:jc w:val="center"/>
        <w:rPr/>
      </w:pPr>
      <w:r>
        <w:rPr>
          <w:rFonts w:ascii="Times New Roman;serif" w:hAnsi="Times New Roman;serif"/>
          <w:b/>
          <w:color w:val="231F20"/>
          <w:sz w:val="20"/>
        </w:rPr>
        <w:t>Notes</w:t>
      </w:r>
      <w:r>
        <w:rPr>
          <w:color w:val="231F20"/>
        </w:rPr>
        <w:t xml:space="preserve"> </w:t>
      </w:r>
      <w:r>
        <w:rPr>
          <w:rFonts w:ascii="Times New Roman;serif" w:hAnsi="Times New Roman;serif"/>
          <w:b/>
          <w:color w:val="231F20"/>
          <w:sz w:val="20"/>
        </w:rPr>
        <w:t>to</w:t>
      </w:r>
      <w:r>
        <w:rPr>
          <w:color w:val="231F20"/>
        </w:rPr>
        <w:t xml:space="preserve"> </w:t>
      </w:r>
      <w:r>
        <w:rPr>
          <w:rFonts w:ascii="Times New Roman;serif" w:hAnsi="Times New Roman;serif"/>
          <w:b/>
          <w:color w:val="231F20"/>
          <w:sz w:val="20"/>
        </w:rPr>
        <w:t>the</w:t>
      </w:r>
      <w:r>
        <w:rPr>
          <w:color w:val="231F20"/>
        </w:rPr>
        <w:t xml:space="preserve"> </w:t>
      </w:r>
      <w:r>
        <w:rPr>
          <w:rFonts w:ascii="Times New Roman;serif" w:hAnsi="Times New Roman;serif"/>
          <w:b/>
          <w:color w:val="231F20"/>
          <w:sz w:val="20"/>
        </w:rPr>
        <w:t>Condensed</w:t>
      </w:r>
      <w:r>
        <w:rPr>
          <w:color w:val="231F20"/>
        </w:rPr>
        <w:t xml:space="preserve"> </w:t>
      </w:r>
      <w:r>
        <w:rPr>
          <w:rFonts w:ascii="Times New Roman;serif" w:hAnsi="Times New Roman;serif"/>
          <w:b/>
          <w:color w:val="231F20"/>
          <w:sz w:val="20"/>
        </w:rPr>
        <w:t>Consolidated</w:t>
      </w:r>
      <w:r>
        <w:rPr>
          <w:color w:val="231F20"/>
        </w:rPr>
        <w:t xml:space="preserve"> </w:t>
      </w:r>
      <w:r>
        <w:rPr>
          <w:rFonts w:ascii="Times New Roman;serif" w:hAnsi="Times New Roman;serif"/>
          <w:b/>
          <w:color w:val="231F20"/>
          <w:sz w:val="20"/>
        </w:rPr>
        <w:t>Financial</w:t>
      </w:r>
      <w:r>
        <w:rPr>
          <w:color w:val="231F20"/>
        </w:rPr>
        <w:t xml:space="preserve"> </w:t>
      </w:r>
      <w:r>
        <w:rPr>
          <w:rFonts w:ascii="Times New Roman;serif" w:hAnsi="Times New Roman;serif"/>
          <w:b/>
          <w:color w:val="231F20"/>
          <w:sz w:val="20"/>
        </w:rPr>
        <w:t xml:space="preserve">Statements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 except for share and per share amounts, ratios or as otherwise noted)</w:t>
      </w:r>
    </w:p>
    <w:p>
      <w:pPr>
        <w:pStyle w:val="TextBody"/>
        <w:bidi w:val="0"/>
        <w:spacing w:before="0" w:after="0"/>
        <w:jc w:val="center"/>
        <w:rPr/>
      </w:pPr>
      <w:r>
        <w:rPr/>
      </w:r>
    </w:p>
    <w:p>
      <w:pPr>
        <w:pStyle w:val="TextBody"/>
        <w:bidi w:val="0"/>
        <w:spacing w:lineRule="auto" w:line="288" w:before="0" w:after="16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The Company had deferred revenue (or contract liabilities) totaling $303 and $544 as of June 30, 2026 and December 31, 2025, respectively, all of which was current. </w:t>
      </w:r>
    </w:p>
    <w:p>
      <w:pPr>
        <w:pStyle w:val="TextBody"/>
        <w:bidi w:val="0"/>
        <w:spacing w:lineRule="auto" w:line="288" w:before="120" w:after="120"/>
        <w:ind w:left="0" w:right="0" w:firstLine="360"/>
        <w:jc w:val="both"/>
        <w:rPr/>
      </w:pPr>
      <w:r>
        <w:rPr>
          <w:rFonts w:ascii="Times New Roman;serif" w:hAnsi="Times New Roman;serif"/>
          <w:b w:val="false"/>
          <w:color w:val="231F20"/>
          <w:sz w:val="20"/>
        </w:rPr>
        <w:t xml:space="preserve">During the six months ended June 30, 2026 and 2025, we recognized </w:t>
      </w:r>
      <w:r>
        <w:rPr>
          <w:rFonts w:ascii="Times New Roman;serif" w:hAnsi="Times New Roman;serif"/>
          <w:b w:val="false"/>
          <w:color w:val="000000"/>
          <w:sz w:val="20"/>
        </w:rPr>
        <w:t>$479</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$309</w:t>
      </w:r>
      <w:r>
        <w:rPr>
          <w:rFonts w:ascii="Times New Roman;serif" w:hAnsi="Times New Roman;serif"/>
          <w:b w:val="false"/>
          <w:color w:val="231F20"/>
          <w:sz w:val="20"/>
        </w:rPr>
        <w:t xml:space="preserve">, respectively of revenue, which was included in deferred revenue at the beginning of the respective periods. </w:t>
      </w:r>
    </w:p>
    <w:p>
      <w:pPr>
        <w:pStyle w:val="TextBody"/>
        <w:bidi w:val="0"/>
        <w:spacing w:lineRule="auto" w:line="288" w:before="0" w:after="160"/>
        <w:ind w:left="0" w:right="0" w:hanging="360"/>
        <w:jc w:val="left"/>
        <w:rPr/>
      </w:pPr>
      <w:r>
        <w:rPr>
          <w:rFonts w:ascii="Times New Roman;serif" w:hAnsi="Times New Roman;serif"/>
          <w:b/>
          <w:i/>
          <w:color w:val="231F20"/>
          <w:sz w:val="20"/>
        </w:rPr>
        <w:t>Transaction</w:t>
      </w:r>
      <w:r>
        <w:rPr>
          <w:color w:val="231F20"/>
        </w:rPr>
        <w:t xml:space="preserve"> </w:t>
      </w:r>
      <w:r>
        <w:rPr>
          <w:rFonts w:ascii="Times New Roman;serif" w:hAnsi="Times New Roman;serif"/>
          <w:b/>
          <w:i/>
          <w:color w:val="231F20"/>
          <w:sz w:val="20"/>
        </w:rPr>
        <w:t>price</w:t>
      </w:r>
      <w:r>
        <w:rPr>
          <w:color w:val="231F20"/>
        </w:rPr>
        <w:t xml:space="preserve"> </w:t>
      </w:r>
      <w:r>
        <w:rPr>
          <w:rFonts w:ascii="Times New Roman;serif" w:hAnsi="Times New Roman;serif"/>
          <w:b/>
          <w:i/>
          <w:color w:val="231F20"/>
          <w:sz w:val="20"/>
        </w:rPr>
        <w:t>allocated to</w:t>
      </w:r>
      <w:r>
        <w:rPr>
          <w:color w:val="231F20"/>
        </w:rPr>
        <w:t xml:space="preserve"> </w:t>
      </w:r>
      <w:r>
        <w:rPr>
          <w:rFonts w:ascii="Times New Roman;serif" w:hAnsi="Times New Roman;serif"/>
          <w:b/>
          <w:i/>
          <w:color w:val="231F20"/>
          <w:sz w:val="20"/>
        </w:rPr>
        <w:t>remaining</w:t>
      </w:r>
      <w:r>
        <w:rPr>
          <w:color w:val="231F20"/>
        </w:rPr>
        <w:t xml:space="preserve"> </w:t>
      </w:r>
      <w:r>
        <w:rPr>
          <w:rFonts w:ascii="Times New Roman;serif" w:hAnsi="Times New Roman;serif"/>
          <w:b/>
          <w:i/>
          <w:color w:val="231F20"/>
          <w:sz w:val="20"/>
        </w:rPr>
        <w:t>performance obligations</w:t>
      </w:r>
    </w:p>
    <w:p>
      <w:pPr>
        <w:pStyle w:val="TextBody"/>
        <w:bidi w:val="0"/>
        <w:spacing w:lineRule="auto" w:line="288" w:before="0" w:after="160"/>
        <w:ind w:left="0" w:right="0" w:firstLine="360"/>
        <w:jc w:val="both"/>
        <w:rPr/>
      </w:pPr>
      <w:r>
        <w:rPr>
          <w:rFonts w:ascii="Times New Roman;serif" w:hAnsi="Times New Roman;serif"/>
          <w:b w:val="false"/>
          <w:color w:val="231F20"/>
          <w:sz w:val="20"/>
        </w:rPr>
        <w:t>As of June 30, 2026, approximately $1,628 of revenue is expected to be recognized from remaining performance</w:t>
      </w:r>
      <w:r>
        <w:rPr>
          <w:color w:val="231F20"/>
        </w:rPr>
        <w:t xml:space="preserve"> </w:t>
      </w:r>
      <w:r>
        <w:rPr>
          <w:rFonts w:ascii="Times New Roman;serif" w:hAnsi="Times New Roman;serif"/>
          <w:b w:val="false"/>
          <w:color w:val="231F20"/>
          <w:sz w:val="20"/>
        </w:rPr>
        <w:t>obligations</w:t>
      </w:r>
      <w:r>
        <w:rPr>
          <w:color w:val="231F20"/>
        </w:rPr>
        <w:t xml:space="preserve"> </w:t>
      </w:r>
      <w:r>
        <w:rPr>
          <w:rFonts w:ascii="Times New Roman;serif" w:hAnsi="Times New Roman;serif"/>
          <w:b w:val="false"/>
          <w:color w:val="231F20"/>
          <w:sz w:val="20"/>
        </w:rPr>
        <w:t>on</w:t>
      </w:r>
      <w:r>
        <w:rPr>
          <w:color w:val="231F20"/>
        </w:rPr>
        <w:t xml:space="preserve"> </w:t>
      </w:r>
      <w:r>
        <w:rPr>
          <w:rFonts w:ascii="Times New Roman;serif" w:hAnsi="Times New Roman;serif"/>
          <w:b w:val="false"/>
          <w:color w:val="231F20"/>
          <w:sz w:val="20"/>
        </w:rPr>
        <w:t>existing</w:t>
      </w:r>
      <w:r>
        <w:rPr>
          <w:color w:val="231F20"/>
        </w:rPr>
        <w:t xml:space="preserve"> </w:t>
      </w:r>
      <w:r>
        <w:rPr>
          <w:rFonts w:ascii="Times New Roman;serif" w:hAnsi="Times New Roman;serif"/>
          <w:b w:val="false"/>
          <w:color w:val="231F20"/>
          <w:sz w:val="20"/>
        </w:rPr>
        <w:t>contracts,</w:t>
      </w:r>
      <w:r>
        <w:rPr>
          <w:color w:val="231F20"/>
        </w:rPr>
        <w:t xml:space="preserve"> </w:t>
      </w:r>
      <w:r>
        <w:rPr>
          <w:rFonts w:ascii="Times New Roman;serif" w:hAnsi="Times New Roman;serif"/>
          <w:b w:val="false"/>
          <w:color w:val="231F20"/>
          <w:sz w:val="20"/>
        </w:rPr>
        <w:t>all of</w:t>
      </w:r>
      <w:r>
        <w:rPr>
          <w:color w:val="231F20"/>
        </w:rPr>
        <w:t xml:space="preserve"> </w:t>
      </w:r>
      <w:r>
        <w:rPr>
          <w:rFonts w:ascii="Times New Roman;serif" w:hAnsi="Times New Roman;serif"/>
          <w:b w:val="false"/>
          <w:color w:val="231F20"/>
          <w:sz w:val="20"/>
        </w:rPr>
        <w:t>which is expected</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be</w:t>
      </w:r>
      <w:r>
        <w:rPr>
          <w:color w:val="231F20"/>
        </w:rPr>
        <w:t xml:space="preserve"> </w:t>
      </w:r>
      <w:r>
        <w:rPr>
          <w:rFonts w:ascii="Times New Roman;serif" w:hAnsi="Times New Roman;serif"/>
          <w:b w:val="false"/>
          <w:color w:val="231F20"/>
          <w:sz w:val="20"/>
        </w:rPr>
        <w:t>recognized</w:t>
      </w:r>
      <w:r>
        <w:rPr>
          <w:color w:val="231F20"/>
        </w:rPr>
        <w:t xml:space="preserve"> </w:t>
      </w:r>
      <w:r>
        <w:rPr>
          <w:rFonts w:ascii="Times New Roman;serif" w:hAnsi="Times New Roman;serif"/>
          <w:b w:val="false"/>
          <w:color w:val="231F20"/>
          <w:sz w:val="20"/>
        </w:rPr>
        <w:t>in</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next</w:t>
      </w:r>
      <w:r>
        <w:rPr>
          <w:color w:val="231F20"/>
        </w:rPr>
        <w:t xml:space="preserve"> </w:t>
      </w:r>
      <w:r>
        <w:rPr>
          <w:rFonts w:ascii="Times New Roman;serif" w:hAnsi="Times New Roman;serif"/>
          <w:b w:val="false"/>
          <w:color w:val="231F20"/>
          <w:sz w:val="20"/>
        </w:rPr>
        <w:t>12 months.</w:t>
      </w:r>
    </w:p>
    <w:p>
      <w:pPr>
        <w:pStyle w:val="TextBody"/>
        <w:bidi w:val="0"/>
        <w:spacing w:lineRule="auto" w:line="288" w:before="0" w:after="160"/>
        <w:ind w:left="0" w:right="0" w:hanging="360"/>
        <w:jc w:val="left"/>
        <w:rPr/>
      </w:pPr>
      <w:r>
        <w:rPr>
          <w:rFonts w:ascii="Times New Roman;serif" w:hAnsi="Times New Roman;serif"/>
          <w:b/>
          <w:i/>
          <w:color w:val="231F20"/>
          <w:sz w:val="20"/>
        </w:rPr>
        <w:t>Significant</w:t>
      </w:r>
      <w:r>
        <w:rPr>
          <w:color w:val="231F20"/>
        </w:rPr>
        <w:t xml:space="preserve"> </w:t>
      </w:r>
      <w:r>
        <w:rPr>
          <w:rFonts w:ascii="Times New Roman;serif" w:hAnsi="Times New Roman;serif"/>
          <w:b/>
          <w:i/>
          <w:color w:val="231F20"/>
          <w:sz w:val="20"/>
        </w:rPr>
        <w:t>customers</w:t>
      </w:r>
    </w:p>
    <w:p>
      <w:pPr>
        <w:pStyle w:val="TextBody"/>
        <w:bidi w:val="0"/>
        <w:spacing w:lineRule="auto" w:line="288" w:before="0" w:after="160"/>
        <w:ind w:left="0" w:right="0" w:firstLine="360"/>
        <w:jc w:val="both"/>
        <w:rPr/>
      </w:pP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following</w:t>
      </w:r>
      <w:r>
        <w:rPr>
          <w:color w:val="231F20"/>
        </w:rPr>
        <w:t xml:space="preserve"> </w:t>
      </w:r>
      <w:r>
        <w:rPr>
          <w:rFonts w:ascii="Times New Roman;serif" w:hAnsi="Times New Roman;serif"/>
          <w:b w:val="false"/>
          <w:color w:val="231F20"/>
          <w:sz w:val="20"/>
        </w:rPr>
        <w:t>summarizes</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percentage</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revenue</w:t>
      </w:r>
      <w:r>
        <w:rPr>
          <w:color w:val="231F20"/>
        </w:rPr>
        <w:t xml:space="preserve"> </w:t>
      </w:r>
      <w:r>
        <w:rPr>
          <w:rFonts w:ascii="Times New Roman;serif" w:hAnsi="Times New Roman;serif"/>
          <w:b w:val="false"/>
          <w:color w:val="231F20"/>
          <w:sz w:val="20"/>
        </w:rPr>
        <w:t>from</w:t>
      </w:r>
      <w:r>
        <w:rPr>
          <w:color w:val="231F20"/>
        </w:rPr>
        <w:t xml:space="preserve"> </w:t>
      </w:r>
      <w:r>
        <w:rPr>
          <w:rFonts w:ascii="Times New Roman;serif" w:hAnsi="Times New Roman;serif"/>
          <w:b w:val="false"/>
          <w:color w:val="231F20"/>
          <w:sz w:val="20"/>
        </w:rPr>
        <w:t>significant</w:t>
      </w:r>
      <w:r>
        <w:rPr>
          <w:color w:val="231F20"/>
        </w:rPr>
        <w:t xml:space="preserve"> </w:t>
      </w:r>
      <w:r>
        <w:rPr>
          <w:rFonts w:ascii="Times New Roman;serif" w:hAnsi="Times New Roman;serif"/>
          <w:b w:val="false"/>
          <w:color w:val="231F20"/>
          <w:sz w:val="20"/>
        </w:rPr>
        <w:t>customers</w:t>
      </w:r>
      <w:r>
        <w:rPr>
          <w:color w:val="231F20"/>
        </w:rPr>
        <w:t xml:space="preserve"> </w:t>
      </w:r>
      <w:r>
        <w:rPr>
          <w:rFonts w:ascii="Times New Roman;serif" w:hAnsi="Times New Roman;serif"/>
          <w:b w:val="false"/>
          <w:color w:val="231F20"/>
          <w:sz w:val="20"/>
        </w:rPr>
        <w:t>which</w:t>
      </w:r>
      <w:r>
        <w:rPr>
          <w:color w:val="231F20"/>
        </w:rPr>
        <w:t xml:space="preserve"> </w:t>
      </w:r>
      <w:r>
        <w:rPr>
          <w:rFonts w:ascii="Times New Roman;serif" w:hAnsi="Times New Roman;serif"/>
          <w:b w:val="false"/>
          <w:color w:val="231F20"/>
          <w:sz w:val="20"/>
        </w:rPr>
        <w:t>accounted</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 xml:space="preserve">10% or more of total revenue for the </w:t>
      </w:r>
      <w:r>
        <w:rPr>
          <w:rFonts w:ascii="Times New Roman;serif" w:hAnsi="Times New Roman;serif"/>
          <w:b w:val="false"/>
          <w:color w:val="000000"/>
          <w:sz w:val="20"/>
        </w:rPr>
        <w:t>three and six months ended</w:t>
      </w:r>
      <w:r>
        <w:rPr>
          <w:color w:val="231F20"/>
        </w:rPr>
        <w:t xml:space="preserve"> </w:t>
      </w:r>
      <w:r>
        <w:rPr>
          <w:rFonts w:ascii="Times New Roman;serif" w:hAnsi="Times New Roman;serif"/>
          <w:b w:val="false"/>
          <w:color w:val="231F20"/>
          <w:sz w:val="20"/>
        </w:rPr>
        <w:t>June 30, 2026 and 2025:</w:t>
      </w:r>
    </w:p>
    <w:tbl>
      <w:tblPr>
        <w:tblW w:w="4891" w:type="dxa"/>
        <w:jc w:val="left"/>
        <w:tblInd w:w="0" w:type="dxa"/>
        <w:tblLayout w:type="fixed"/>
        <w:tblCellMar>
          <w:top w:w="28" w:type="dxa"/>
          <w:left w:w="28" w:type="dxa"/>
          <w:bottom w:w="28" w:type="dxa"/>
          <w:right w:w="28" w:type="dxa"/>
        </w:tblCellMar>
      </w:tblPr>
      <w:tblGrid>
        <w:gridCol w:w="380"/>
        <w:gridCol w:w="334"/>
        <w:gridCol w:w="335"/>
        <w:gridCol w:w="173"/>
        <w:gridCol w:w="173"/>
        <w:gridCol w:w="361"/>
        <w:gridCol w:w="145"/>
        <w:gridCol w:w="145"/>
        <w:gridCol w:w="145"/>
        <w:gridCol w:w="158"/>
        <w:gridCol w:w="158"/>
        <w:gridCol w:w="361"/>
        <w:gridCol w:w="109"/>
        <w:gridCol w:w="109"/>
        <w:gridCol w:w="109"/>
        <w:gridCol w:w="173"/>
        <w:gridCol w:w="173"/>
        <w:gridCol w:w="307"/>
        <w:gridCol w:w="123"/>
        <w:gridCol w:w="123"/>
        <w:gridCol w:w="123"/>
        <w:gridCol w:w="158"/>
        <w:gridCol w:w="158"/>
        <w:gridCol w:w="358"/>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Six months ended</w:t>
              <w:br/>
              <w:t>June 30,</w:t>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2026</w:t>
            </w:r>
          </w:p>
        </w:tc>
        <w:tc>
          <w:tcPr>
            <w:tcW w:w="435" w:type="dxa"/>
            <w:gridSpan w:val="3"/>
            <w:tcBorders>
              <w:top w:val="single" w:sz="4"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2026</w:t>
            </w:r>
          </w:p>
        </w:tc>
        <w:tc>
          <w:tcPr>
            <w:tcW w:w="369" w:type="dxa"/>
            <w:gridSpan w:val="3"/>
            <w:tcBorders>
              <w:top w:val="single" w:sz="4"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2025</w:t>
            </w:r>
          </w:p>
        </w:tc>
      </w:tr>
      <w:tr>
        <w:trPr/>
        <w:tc>
          <w:tcPr>
            <w:tcW w:w="1049" w:type="dxa"/>
            <w:gridSpan w:val="3"/>
            <w:tcBorders/>
            <w:shd w:fill="CCED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Customer 1</w:t>
            </w:r>
          </w:p>
        </w:tc>
        <w:tc>
          <w:tcPr>
            <w:tcW w:w="346" w:type="dxa"/>
            <w:gridSpan w:val="2"/>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56</w:t>
            </w:r>
          </w:p>
        </w:tc>
        <w:tc>
          <w:tcPr>
            <w:tcW w:w="36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3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32</w:t>
            </w:r>
          </w:p>
        </w:tc>
        <w:tc>
          <w:tcPr>
            <w:tcW w:w="36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66</w:t>
            </w:r>
          </w:p>
        </w:tc>
        <w:tc>
          <w:tcPr>
            <w:tcW w:w="307"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36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20</w:t>
            </w:r>
          </w:p>
        </w:tc>
        <w:tc>
          <w:tcPr>
            <w:tcW w:w="358"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Customer 2</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20</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16</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r>
      <w:tr>
        <w:trPr/>
        <w:tc>
          <w:tcPr>
            <w:tcW w:w="1049" w:type="dxa"/>
            <w:gridSpan w:val="3"/>
            <w:tcBorders/>
            <w:shd w:fill="CCED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Customer 3</w:t>
            </w:r>
          </w:p>
        </w:tc>
        <w:tc>
          <w:tcPr>
            <w:tcW w:w="34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61"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3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30</w:t>
            </w:r>
          </w:p>
        </w:tc>
        <w:tc>
          <w:tcPr>
            <w:tcW w:w="361"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07"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36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32</w:t>
            </w:r>
          </w:p>
        </w:tc>
        <w:tc>
          <w:tcPr>
            <w:tcW w:w="358"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r>
      <w:tr>
        <w:trPr/>
        <w:tc>
          <w:tcPr>
            <w:tcW w:w="1049"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r>
      <w:tr>
        <w:trPr/>
        <w:tc>
          <w:tcPr>
            <w:tcW w:w="1049"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360"/>
        <w:jc w:val="both"/>
        <w:rPr/>
      </w:pPr>
      <w:r>
        <w:rPr>
          <w:rFonts w:ascii="Times New Roman;serif" w:hAnsi="Times New Roman;serif"/>
          <w:b w:val="false"/>
          <w:color w:val="231F20"/>
          <w:sz w:val="20"/>
        </w:rPr>
        <w:t>As</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June 30, 2026,</w:t>
      </w:r>
      <w:r>
        <w:rPr>
          <w:color w:val="231F20"/>
        </w:rPr>
        <w:t xml:space="preserve"> </w:t>
      </w:r>
      <w:r>
        <w:rPr>
          <w:rFonts w:ascii="Times New Roman;serif" w:hAnsi="Times New Roman;serif"/>
          <w:b w:val="false"/>
          <w:color w:val="231F20"/>
          <w:sz w:val="20"/>
        </w:rPr>
        <w:t>none of the outstanding customers</w:t>
      </w:r>
      <w:r>
        <w:rPr>
          <w:color w:val="231F20"/>
        </w:rPr>
        <w:t xml:space="preserve"> </w:t>
      </w:r>
      <w:r>
        <w:rPr>
          <w:rFonts w:ascii="Times New Roman;serif" w:hAnsi="Times New Roman;serif"/>
          <w:b w:val="false"/>
          <w:color w:val="231F20"/>
          <w:sz w:val="20"/>
        </w:rPr>
        <w:t xml:space="preserve">had a receivables balance that exceeded </w:t>
      </w:r>
      <w:r>
        <w:rPr>
          <w:rFonts w:ascii="Times New Roman;serif" w:hAnsi="Times New Roman;serif"/>
          <w:b w:val="false"/>
          <w:color w:val="000000"/>
          <w:sz w:val="20"/>
        </w:rPr>
        <w:t>10%</w:t>
      </w:r>
      <w:r>
        <w:rPr>
          <w:color w:val="231F20"/>
        </w:rPr>
        <w:t xml:space="preserve"> </w:t>
      </w:r>
      <w:r>
        <w:rPr>
          <w:rFonts w:ascii="Times New Roman;serif" w:hAnsi="Times New Roman;serif"/>
          <w:b w:val="false"/>
          <w:color w:val="231F20"/>
          <w:sz w:val="20"/>
        </w:rPr>
        <w:t xml:space="preserve">of the total trade and other receivables balance.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16840"/>
                <wp:effectExtent l="0" t="0" r="0" b="0"/>
                <wp:wrapNone/>
                <wp:docPr id="42" name="Frame4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31</w:t>
                      </w:r>
                    </w:p>
                  </w:txbxContent>
                </v:textbox>
                <w10:wrap type="none"/>
              </v:rect>
            </w:pict>
          </mc:Fallback>
        </mc:AlternateContent>
      </w:r>
    </w:p>
    <w:p>
      <w:pPr>
        <w:pStyle w:val="TextBody"/>
        <w:bidi w:val="0"/>
        <w:spacing w:lineRule="auto" w:line="288" w:before="0" w:after="0"/>
        <w:ind w:left="0" w:right="0" w:hanging="117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center"/>
        <w:rPr/>
      </w:pPr>
      <w:r>
        <w:rPr>
          <w:rFonts w:ascii="Times New Roman;serif" w:hAnsi="Times New Roman;serif"/>
          <w:b/>
          <w:color w:val="231F20"/>
          <w:sz w:val="20"/>
        </w:rPr>
        <w:t>XANADU</w:t>
      </w:r>
      <w:r>
        <w:rPr>
          <w:color w:val="231F20"/>
        </w:rPr>
        <w:t xml:space="preserve"> </w:t>
      </w:r>
      <w:r>
        <w:rPr>
          <w:rFonts w:ascii="Times New Roman;serif" w:hAnsi="Times New Roman;serif"/>
          <w:b/>
          <w:color w:val="231F20"/>
          <w:sz w:val="20"/>
        </w:rPr>
        <w:t>QUANTUM</w:t>
      </w:r>
      <w:r>
        <w:rPr>
          <w:color w:val="231F20"/>
        </w:rPr>
        <w:t xml:space="preserve"> </w:t>
      </w:r>
      <w:r>
        <w:rPr>
          <w:rFonts w:ascii="Times New Roman;serif" w:hAnsi="Times New Roman;serif"/>
          <w:b/>
          <w:color w:val="231F20"/>
          <w:sz w:val="20"/>
        </w:rPr>
        <w:t>TECHNOLOGIES LIMITED</w:t>
      </w:r>
    </w:p>
    <w:p>
      <w:pPr>
        <w:pStyle w:val="TextBody"/>
        <w:bidi w:val="0"/>
        <w:spacing w:lineRule="auto" w:line="288" w:before="0" w:after="0"/>
        <w:jc w:val="center"/>
        <w:rPr/>
      </w:pPr>
      <w:r>
        <w:rPr>
          <w:rFonts w:ascii="Times New Roman;serif" w:hAnsi="Times New Roman;serif"/>
          <w:b/>
          <w:color w:val="231F20"/>
          <w:sz w:val="20"/>
        </w:rPr>
        <w:t>Notes</w:t>
      </w:r>
      <w:r>
        <w:rPr>
          <w:color w:val="231F20"/>
        </w:rPr>
        <w:t xml:space="preserve"> </w:t>
      </w:r>
      <w:r>
        <w:rPr>
          <w:rFonts w:ascii="Times New Roman;serif" w:hAnsi="Times New Roman;serif"/>
          <w:b/>
          <w:color w:val="231F20"/>
          <w:sz w:val="20"/>
        </w:rPr>
        <w:t>to</w:t>
      </w:r>
      <w:r>
        <w:rPr>
          <w:color w:val="231F20"/>
        </w:rPr>
        <w:t xml:space="preserve"> </w:t>
      </w:r>
      <w:r>
        <w:rPr>
          <w:rFonts w:ascii="Times New Roman;serif" w:hAnsi="Times New Roman;serif"/>
          <w:b/>
          <w:color w:val="231F20"/>
          <w:sz w:val="20"/>
        </w:rPr>
        <w:t>the</w:t>
      </w:r>
      <w:r>
        <w:rPr>
          <w:color w:val="231F20"/>
        </w:rPr>
        <w:t xml:space="preserve"> </w:t>
      </w:r>
      <w:r>
        <w:rPr>
          <w:rFonts w:ascii="Times New Roman;serif" w:hAnsi="Times New Roman;serif"/>
          <w:b/>
          <w:color w:val="231F20"/>
          <w:sz w:val="20"/>
        </w:rPr>
        <w:t>Condensed</w:t>
      </w:r>
      <w:r>
        <w:rPr>
          <w:color w:val="231F20"/>
        </w:rPr>
        <w:t xml:space="preserve"> </w:t>
      </w:r>
      <w:r>
        <w:rPr>
          <w:rFonts w:ascii="Times New Roman;serif" w:hAnsi="Times New Roman;serif"/>
          <w:b/>
          <w:color w:val="231F20"/>
          <w:sz w:val="20"/>
        </w:rPr>
        <w:t>Consolidated</w:t>
      </w:r>
      <w:r>
        <w:rPr>
          <w:color w:val="231F20"/>
        </w:rPr>
        <w:t xml:space="preserve"> </w:t>
      </w:r>
      <w:r>
        <w:rPr>
          <w:rFonts w:ascii="Times New Roman;serif" w:hAnsi="Times New Roman;serif"/>
          <w:b/>
          <w:color w:val="231F20"/>
          <w:sz w:val="20"/>
        </w:rPr>
        <w:t>Financial</w:t>
      </w:r>
      <w:r>
        <w:rPr>
          <w:color w:val="231F20"/>
        </w:rPr>
        <w:t xml:space="preserve"> </w:t>
      </w:r>
      <w:r>
        <w:rPr>
          <w:rFonts w:ascii="Times New Roman;serif" w:hAnsi="Times New Roman;serif"/>
          <w:b/>
          <w:color w:val="231F20"/>
          <w:sz w:val="20"/>
        </w:rPr>
        <w:t xml:space="preserve">Statements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 except for share and per share amounts, ratios or as otherwise noted)</w:t>
      </w:r>
    </w:p>
    <w:p>
      <w:pPr>
        <w:pStyle w:val="TextBody"/>
        <w:bidi w:val="0"/>
        <w:spacing w:lineRule="auto" w:line="288" w:before="0" w:after="160"/>
        <w:ind w:left="0" w:right="0" w:hanging="480"/>
        <w:jc w:val="left"/>
        <w:rPr/>
      </w:pPr>
      <w:r>
        <w:rPr>
          <w:rFonts w:ascii="Times New Roman;serif" w:hAnsi="Times New Roman;serif"/>
          <w:b/>
          <w:color w:val="231F20"/>
          <w:sz w:val="20"/>
        </w:rPr>
        <w:t>Note 13 - Shareholders’</w:t>
      </w:r>
      <w:r>
        <w:rPr>
          <w:color w:val="231F20"/>
        </w:rPr>
        <w:t xml:space="preserve"> </w:t>
      </w:r>
      <w:r>
        <w:rPr>
          <w:rFonts w:ascii="Times New Roman;serif" w:hAnsi="Times New Roman;serif"/>
          <w:b/>
          <w:color w:val="231F20"/>
          <w:sz w:val="20"/>
        </w:rPr>
        <w:t>Equity:</w:t>
      </w:r>
    </w:p>
    <w:p>
      <w:pPr>
        <w:pStyle w:val="TextBody"/>
        <w:bidi w:val="0"/>
        <w:spacing w:lineRule="auto" w:line="288" w:before="0" w:after="160"/>
        <w:ind w:left="0" w:right="0" w:hanging="1080"/>
        <w:jc w:val="left"/>
        <w:rPr>
          <w:rFonts w:ascii="Times New Roman;serif" w:hAnsi="Times New Roman;serif"/>
          <w:b/>
          <w:i/>
          <w:color w:val="231F20"/>
          <w:sz w:val="20"/>
        </w:rPr>
      </w:pPr>
      <w:r>
        <w:rPr>
          <w:rFonts w:ascii="Times New Roman;serif" w:hAnsi="Times New Roman;serif"/>
          <w:b/>
          <w:i/>
          <w:color w:val="231F20"/>
          <w:sz w:val="20"/>
        </w:rPr>
        <w:t>Common shares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Authorized Capital</w:t>
      </w:r>
    </w:p>
    <w:p>
      <w:pPr>
        <w:pStyle w:val="TextBody"/>
        <w:bidi w:val="0"/>
        <w:spacing w:lineRule="auto" w:line="288" w:before="0" w:after="160"/>
        <w:ind w:left="0" w:right="0" w:firstLine="360"/>
        <w:jc w:val="both"/>
        <w:rPr/>
      </w:pPr>
      <w:r>
        <w:rPr>
          <w:rFonts w:ascii="Times New Roman;serif" w:hAnsi="Times New Roman;serif"/>
          <w:b w:val="false"/>
          <w:color w:val="231F20"/>
          <w:sz w:val="20"/>
        </w:rPr>
        <w:t xml:space="preserve">As of </w:t>
      </w:r>
      <w:r>
        <w:rPr>
          <w:rFonts w:ascii="Times New Roman;serif" w:hAnsi="Times New Roman;serif"/>
          <w:b w:val="false"/>
          <w:color w:val="000000"/>
          <w:sz w:val="20"/>
        </w:rPr>
        <w:t>June 30, 2026</w:t>
      </w:r>
      <w:r>
        <w:rPr>
          <w:rFonts w:ascii="Times New Roman;serif" w:hAnsi="Times New Roman;serif"/>
          <w:b w:val="false"/>
          <w:color w:val="231F20"/>
          <w:sz w:val="20"/>
        </w:rPr>
        <w:t xml:space="preserve">, the Company had two classes of common shares - Xanadu Class A Multiple Voting Shares and Xanadu Class B Subordinate Voting Shares. </w:t>
      </w:r>
      <w:r>
        <w:rPr>
          <w:rFonts w:ascii="Times New Roman;serif" w:hAnsi="Times New Roman;serif"/>
          <w:b w:val="false"/>
          <w:color w:val="000000"/>
          <w:sz w:val="20"/>
        </w:rPr>
        <w:t xml:space="preserve">Our authorized share capital consists of an unlimited number of Class A Multiple Voting Shares and an unlimited number of </w:t>
      </w:r>
      <w:r>
        <w:rPr>
          <w:rFonts w:ascii="Times New Roman;serif" w:hAnsi="Times New Roman;serif"/>
          <w:b w:val="false"/>
          <w:color w:val="231F20"/>
          <w:sz w:val="20"/>
        </w:rPr>
        <w:t xml:space="preserve">Xanadu </w:t>
      </w:r>
      <w:r>
        <w:rPr>
          <w:rFonts w:ascii="Times New Roman;serif" w:hAnsi="Times New Roman;serif"/>
          <w:b w:val="false"/>
          <w:color w:val="000000"/>
          <w:sz w:val="20"/>
        </w:rPr>
        <w:t xml:space="preserve">Class B Subordinate Voting Shares, each without a par value.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Voting Rights</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Holders of </w:t>
      </w:r>
      <w:r>
        <w:rPr>
          <w:rFonts w:ascii="Times New Roman;serif" w:hAnsi="Times New Roman;serif"/>
          <w:b w:val="false"/>
          <w:color w:val="231F20"/>
          <w:sz w:val="20"/>
        </w:rPr>
        <w:t xml:space="preserve">Xanadu </w:t>
      </w:r>
      <w:r>
        <w:rPr>
          <w:rFonts w:ascii="Times New Roman;serif" w:hAnsi="Times New Roman;serif"/>
          <w:b w:val="false"/>
          <w:color w:val="000000"/>
          <w:sz w:val="20"/>
        </w:rPr>
        <w:t xml:space="preserve">Class A Multiple Voting Shares are entitled to ten votes per share and holders of </w:t>
      </w:r>
      <w:r>
        <w:rPr>
          <w:rFonts w:ascii="Times New Roman;serif" w:hAnsi="Times New Roman;serif"/>
          <w:b w:val="false"/>
          <w:color w:val="231F20"/>
          <w:sz w:val="20"/>
        </w:rPr>
        <w:t xml:space="preserve">Xanadu </w:t>
      </w:r>
      <w:r>
        <w:rPr>
          <w:rFonts w:ascii="Times New Roman;serif" w:hAnsi="Times New Roman;serif"/>
          <w:b w:val="false"/>
          <w:color w:val="000000"/>
          <w:sz w:val="20"/>
        </w:rPr>
        <w:t xml:space="preserve">Class B Subordinate Voting Shares are entitled to one vote per share on all matters upon which shareholders are entitled to vote.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Conversion Rights</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Each </w:t>
      </w:r>
      <w:r>
        <w:rPr>
          <w:rFonts w:ascii="Times New Roman;serif" w:hAnsi="Times New Roman;serif"/>
          <w:b w:val="false"/>
          <w:color w:val="231F20"/>
          <w:sz w:val="20"/>
        </w:rPr>
        <w:t xml:space="preserve">Xanadu </w:t>
      </w:r>
      <w:r>
        <w:rPr>
          <w:rFonts w:ascii="Times New Roman;serif" w:hAnsi="Times New Roman;serif"/>
          <w:b w:val="false"/>
          <w:color w:val="000000"/>
          <w:sz w:val="20"/>
        </w:rPr>
        <w:t xml:space="preserve">Class A Multiple Voting Share is convertible at any time, at the option of the holder, into one </w:t>
      </w:r>
      <w:r>
        <w:rPr>
          <w:rFonts w:ascii="Times New Roman;serif" w:hAnsi="Times New Roman;serif"/>
          <w:b w:val="false"/>
          <w:color w:val="231F20"/>
          <w:sz w:val="20"/>
        </w:rPr>
        <w:t xml:space="preserve">Xanadu </w:t>
      </w:r>
      <w:r>
        <w:rPr>
          <w:rFonts w:ascii="Times New Roman;serif" w:hAnsi="Times New Roman;serif"/>
          <w:b w:val="false"/>
          <w:color w:val="000000"/>
          <w:sz w:val="20"/>
        </w:rPr>
        <w:t xml:space="preserve">Class B Subordinate Voting Share. Additionally, </w:t>
      </w:r>
      <w:r>
        <w:rPr>
          <w:rFonts w:ascii="Times New Roman;serif" w:hAnsi="Times New Roman;serif"/>
          <w:b w:val="false"/>
          <w:color w:val="231F20"/>
          <w:sz w:val="20"/>
        </w:rPr>
        <w:t xml:space="preserve">Xanadu </w:t>
      </w:r>
      <w:r>
        <w:rPr>
          <w:rFonts w:ascii="Times New Roman;serif" w:hAnsi="Times New Roman;serif"/>
          <w:b w:val="false"/>
          <w:color w:val="000000"/>
          <w:sz w:val="20"/>
        </w:rPr>
        <w:t xml:space="preserve">Class A Multiple Voting Shares will automatically convert into </w:t>
      </w:r>
      <w:r>
        <w:rPr>
          <w:rFonts w:ascii="Times New Roman;serif" w:hAnsi="Times New Roman;serif"/>
          <w:b w:val="false"/>
          <w:color w:val="231F20"/>
          <w:sz w:val="20"/>
        </w:rPr>
        <w:t xml:space="preserve">Xanadu </w:t>
      </w:r>
      <w:r>
        <w:rPr>
          <w:rFonts w:ascii="Times New Roman;serif" w:hAnsi="Times New Roman;serif"/>
          <w:b w:val="false"/>
          <w:color w:val="000000"/>
          <w:sz w:val="20"/>
        </w:rPr>
        <w:t>Class B Subordinate Voting Shares upon any transfer (as defined in the articles of incorporation), subject to certain limited exceptions for permitted holders as outlined in the Company's articles of incorporation (as amended).</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Dividend and Liquidation Rights</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The </w:t>
      </w:r>
      <w:r>
        <w:rPr>
          <w:rFonts w:ascii="Times New Roman;serif" w:hAnsi="Times New Roman;serif"/>
          <w:b w:val="false"/>
          <w:color w:val="231F20"/>
          <w:sz w:val="20"/>
        </w:rPr>
        <w:t>Xanadu</w:t>
      </w:r>
      <w:r>
        <w:rPr>
          <w:color w:val="000000"/>
        </w:rPr>
        <w:t xml:space="preserve"> </w:t>
      </w:r>
      <w:r>
        <w:rPr>
          <w:rFonts w:ascii="Times New Roman;serif" w:hAnsi="Times New Roman;serif"/>
          <w:b w:val="false"/>
          <w:color w:val="000000"/>
          <w:sz w:val="20"/>
        </w:rPr>
        <w:t xml:space="preserve">Class A Multiple Voting Shares and </w:t>
      </w:r>
      <w:r>
        <w:rPr>
          <w:rFonts w:ascii="Times New Roman;serif" w:hAnsi="Times New Roman;serif"/>
          <w:b w:val="false"/>
          <w:color w:val="231F20"/>
          <w:sz w:val="20"/>
        </w:rPr>
        <w:t xml:space="preserve">Xanadu </w:t>
      </w:r>
      <w:r>
        <w:rPr>
          <w:rFonts w:ascii="Times New Roman;serif" w:hAnsi="Times New Roman;serif"/>
          <w:b w:val="false"/>
          <w:color w:val="000000"/>
          <w:sz w:val="20"/>
        </w:rPr>
        <w:t xml:space="preserve">Class B Subordinate Voting Shares rank pari passu with respect to the payment of dividends and the distribution of assets in the event of the liquidation, dissolution, or winding up of the Company. No dividend may be declared or paid on the </w:t>
      </w:r>
      <w:r>
        <w:rPr>
          <w:rFonts w:ascii="Times New Roman;serif" w:hAnsi="Times New Roman;serif"/>
          <w:b w:val="false"/>
          <w:color w:val="231F20"/>
          <w:sz w:val="20"/>
        </w:rPr>
        <w:t xml:space="preserve">Xanadu </w:t>
      </w:r>
      <w:r>
        <w:rPr>
          <w:rFonts w:ascii="Times New Roman;serif" w:hAnsi="Times New Roman;serif"/>
          <w:b w:val="false"/>
          <w:color w:val="000000"/>
          <w:sz w:val="20"/>
        </w:rPr>
        <w:t xml:space="preserve">Class A Multiple Voting Shares unless a dividend of the same amount and type is simultaneously declared or paid on the </w:t>
      </w:r>
      <w:r>
        <w:rPr>
          <w:rFonts w:ascii="Times New Roman;serif" w:hAnsi="Times New Roman;serif"/>
          <w:b w:val="false"/>
          <w:color w:val="231F20"/>
          <w:sz w:val="20"/>
        </w:rPr>
        <w:t xml:space="preserve">Xanadu </w:t>
      </w:r>
      <w:r>
        <w:rPr>
          <w:rFonts w:ascii="Times New Roman;serif" w:hAnsi="Times New Roman;serif"/>
          <w:b w:val="false"/>
          <w:color w:val="000000"/>
          <w:sz w:val="20"/>
        </w:rPr>
        <w:t>Class B Subordinate Voting Shares.</w:t>
      </w:r>
    </w:p>
    <w:p>
      <w:pPr>
        <w:pStyle w:val="TextBody"/>
        <w:bidi w:val="0"/>
        <w:spacing w:lineRule="auto" w:line="288" w:before="120" w:after="120"/>
        <w:ind w:left="0" w:right="0" w:firstLine="360"/>
        <w:jc w:val="left"/>
        <w:rPr/>
      </w:pPr>
      <w:r>
        <w:rPr>
          <w:rFonts w:ascii="Times New Roman;serif" w:hAnsi="Times New Roman;serif"/>
          <w:b w:val="false"/>
          <w:color w:val="000000"/>
          <w:sz w:val="20"/>
        </w:rPr>
        <w:t>The following table summarizes the number and amount of each class of common shares issued and outstanding as of June 30, 2026 and December 31, 2025</w:t>
      </w:r>
      <w:r>
        <w:rPr>
          <w:rFonts w:ascii="Times New Roman;serif" w:hAnsi="Times New Roman;serif"/>
          <w:b w:val="false"/>
          <w:color w:val="231F20"/>
          <w:sz w:val="20"/>
        </w:rPr>
        <w:t xml:space="preserve">: </w:t>
      </w:r>
    </w:p>
    <w:tbl>
      <w:tblPr>
        <w:tblW w:w="5598" w:type="dxa"/>
        <w:jc w:val="left"/>
        <w:tblInd w:w="0" w:type="dxa"/>
        <w:tblLayout w:type="fixed"/>
        <w:tblCellMar>
          <w:top w:w="28" w:type="dxa"/>
          <w:left w:w="28" w:type="dxa"/>
          <w:bottom w:w="28" w:type="dxa"/>
          <w:right w:w="28" w:type="dxa"/>
        </w:tblCellMar>
      </w:tblPr>
      <w:tblGrid>
        <w:gridCol w:w="1057"/>
        <w:gridCol w:w="932"/>
        <w:gridCol w:w="935"/>
        <w:gridCol w:w="380"/>
        <w:gridCol w:w="380"/>
        <w:gridCol w:w="381"/>
        <w:gridCol w:w="109"/>
        <w:gridCol w:w="109"/>
        <w:gridCol w:w="109"/>
        <w:gridCol w:w="211"/>
        <w:gridCol w:w="841"/>
        <w:gridCol w:w="154"/>
      </w:tblGrid>
      <w:tr>
        <w:trPr/>
        <w:tc>
          <w:tcPr>
            <w:tcW w:w="105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20"/>
              </w:rPr>
            </w:pPr>
            <w:r>
              <w:rPr>
                <w:rFonts w:ascii="Times New Roman;serif" w:hAnsi="Times New Roman;serif"/>
                <w:b/>
                <w:color w:val="231F20"/>
                <w:sz w:val="20"/>
              </w:rPr>
              <w:t>June 30, 2026</w:t>
            </w:r>
          </w:p>
        </w:tc>
      </w:tr>
      <w:tr>
        <w:trPr/>
        <w:tc>
          <w:tcPr>
            <w:tcW w:w="2924" w:type="dxa"/>
            <w:gridSpan w:val="3"/>
            <w:vMerge w:val="continue"/>
            <w:tcBorders/>
            <w:tcMar>
              <w:top w:w="0" w:type="dxa"/>
              <w:left w:w="0" w:type="dxa"/>
              <w:bottom w:w="0" w:type="dxa"/>
              <w:right w:w="0" w:type="dxa"/>
            </w:tcMar>
            <w:vAlign w:val="center"/>
          </w:tcPr>
          <w:p>
            <w:pPr>
              <w:pStyle w:val="Normal"/>
              <w:bidi w:val="0"/>
              <w:jc w:val="left"/>
              <w:rPr/>
            </w:pPr>
            <w:r>
              <w:rPr/>
            </w:r>
          </w:p>
        </w:tc>
        <w:tc>
          <w:tcPr>
            <w:tcW w:w="11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0"/>
              <w:ind w:left="0" w:right="0" w:firstLine="67"/>
              <w:jc w:val="center"/>
              <w:rPr>
                <w:rFonts w:ascii="Times New Roman;serif" w:hAnsi="Times New Roman;serif"/>
                <w:b/>
                <w:color w:val="231F20"/>
                <w:sz w:val="20"/>
              </w:rPr>
            </w:pPr>
            <w:r>
              <w:rPr>
                <w:rFonts w:ascii="Times New Roman;serif" w:hAnsi="Times New Roman;serif"/>
                <w:b/>
                <w:color w:val="231F20"/>
                <w:sz w:val="20"/>
              </w:rPr>
              <w:t xml:space="preserve">Issued and </w:t>
            </w:r>
          </w:p>
          <w:p>
            <w:pPr>
              <w:pStyle w:val="TableContents"/>
              <w:bidi w:val="0"/>
              <w:spacing w:lineRule="auto" w:line="240" w:before="0" w:after="0"/>
              <w:jc w:val="center"/>
              <w:rPr>
                <w:rFonts w:ascii="Times New Roman;serif" w:hAnsi="Times New Roman;serif"/>
                <w:b/>
                <w:color w:val="231F20"/>
                <w:sz w:val="20"/>
              </w:rPr>
            </w:pPr>
            <w:r>
              <w:rPr>
                <w:rFonts w:ascii="Times New Roman;serif" w:hAnsi="Times New Roman;serif"/>
                <w:b/>
                <w:color w:val="231F20"/>
                <w:sz w:val="20"/>
              </w:rPr>
              <w:t>Outstanding</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188" w:after="283"/>
              <w:jc w:val="center"/>
              <w:rPr>
                <w:rFonts w:ascii="Times New Roman;serif" w:hAnsi="Times New Roman;serif"/>
                <w:b/>
                <w:color w:val="231F20"/>
                <w:sz w:val="20"/>
              </w:rPr>
            </w:pPr>
            <w:r>
              <w:rPr>
                <w:rFonts w:ascii="Times New Roman;serif" w:hAnsi="Times New Roman;serif"/>
                <w:b/>
                <w:color w:val="231F20"/>
                <w:sz w:val="20"/>
              </w:rPr>
              <w:t>Amount</w:t>
            </w:r>
          </w:p>
        </w:tc>
      </w:tr>
      <w:tr>
        <w:trPr/>
        <w:tc>
          <w:tcPr>
            <w:tcW w:w="2924" w:type="dxa"/>
            <w:gridSpan w:val="3"/>
            <w:tcBorders/>
            <w:shd w:fill="CCEDFF" w:val="clear"/>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val="false"/>
                <w:color w:val="231F20"/>
                <w:sz w:val="20"/>
              </w:rPr>
            </w:pPr>
            <w:r>
              <w:rPr>
                <w:rFonts w:ascii="Times New Roman;serif" w:hAnsi="Times New Roman;serif"/>
                <w:b w:val="false"/>
                <w:color w:val="231F20"/>
                <w:sz w:val="20"/>
              </w:rPr>
              <w:t>Class A Multiple Voting shares</w:t>
            </w:r>
          </w:p>
        </w:tc>
        <w:tc>
          <w:tcPr>
            <w:tcW w:w="1141" w:type="dxa"/>
            <w:gridSpan w:val="3"/>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251,555,764</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4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217,372 </w:t>
            </w:r>
          </w:p>
        </w:tc>
        <w:tc>
          <w:tcPr>
            <w:tcW w:w="154"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tLeast" w:line="229" w:before="0" w:after="283"/>
              <w:jc w:val="left"/>
              <w:rPr>
                <w:rFonts w:ascii="Times New Roman;serif" w:hAnsi="Times New Roman;serif"/>
                <w:b w:val="false"/>
                <w:color w:val="231F20"/>
                <w:sz w:val="20"/>
              </w:rPr>
            </w:pPr>
            <w:r>
              <w:rPr>
                <w:rFonts w:ascii="Times New Roman;serif" w:hAnsi="Times New Roman;serif"/>
                <w:b w:val="false"/>
                <w:color w:val="231F20"/>
                <w:sz w:val="20"/>
              </w:rPr>
              <w:t>Class B Subordinate Voting shares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52,668,260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348,795</w:t>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D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color w:val="231F20"/>
                <w:sz w:val="20"/>
              </w:rPr>
            </w:pPr>
            <w:r>
              <w:rPr>
                <w:rFonts w:ascii="Times New Roman;serif" w:hAnsi="Times New Roman;serif"/>
                <w:b/>
                <w:color w:val="231F20"/>
                <w:sz w:val="20"/>
              </w:rPr>
              <w:t>Total Common Shares</w:t>
            </w:r>
          </w:p>
        </w:tc>
        <w:tc>
          <w:tcPr>
            <w:tcW w:w="1141" w:type="dxa"/>
            <w:gridSpan w:val="3"/>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231F20"/>
                <w:sz w:val="20"/>
              </w:rPr>
            </w:pPr>
            <w:r>
              <w:rPr>
                <w:rFonts w:ascii="Times New Roman;serif" w:hAnsi="Times New Roman;serif"/>
                <w:b/>
                <w:color w:val="231F20"/>
                <w:sz w:val="20"/>
              </w:rPr>
              <w:t>304,224,024</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84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566,167</w:t>
            </w:r>
            <w:r>
              <w:rPr>
                <w:color w:val="231F20"/>
              </w:rPr>
              <w:t> </w:t>
            </w:r>
          </w:p>
        </w:tc>
        <w:tc>
          <w:tcPr>
            <w:tcW w:w="154"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063" w:type="dxa"/>
        <w:jc w:val="left"/>
        <w:tblInd w:w="0" w:type="dxa"/>
        <w:tblLayout w:type="fixed"/>
        <w:tblCellMar>
          <w:top w:w="28" w:type="dxa"/>
          <w:left w:w="28" w:type="dxa"/>
          <w:bottom w:w="28" w:type="dxa"/>
          <w:right w:w="28" w:type="dxa"/>
        </w:tblCellMar>
      </w:tblPr>
      <w:tblGrid>
        <w:gridCol w:w="1609"/>
        <w:gridCol w:w="1413"/>
        <w:gridCol w:w="1418"/>
        <w:gridCol w:w="380"/>
        <w:gridCol w:w="380"/>
        <w:gridCol w:w="381"/>
        <w:gridCol w:w="176"/>
        <w:gridCol w:w="176"/>
        <w:gridCol w:w="176"/>
        <w:gridCol w:w="342"/>
        <w:gridCol w:w="1363"/>
        <w:gridCol w:w="249"/>
      </w:tblGrid>
      <w:tr>
        <w:trPr/>
        <w:tc>
          <w:tcPr>
            <w:tcW w:w="1609"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3"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231F20"/>
                <w:sz w:val="20"/>
              </w:rPr>
              <w:t xml:space="preserve">December 31, 2025 As Adjusted </w:t>
            </w:r>
            <w:r>
              <w:rPr>
                <w:rFonts w:ascii="Times New Roman;serif" w:hAnsi="Times New Roman;serif"/>
                <w:b/>
                <w:color w:val="231F20"/>
                <w:sz w:val="13"/>
              </w:rPr>
              <w:t>(1)</w:t>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231F20"/>
                <w:sz w:val="20"/>
              </w:rPr>
            </w:pPr>
            <w:r>
              <w:rPr>
                <w:rFonts w:ascii="Times New Roman;serif" w:hAnsi="Times New Roman;serif"/>
                <w:b/>
                <w:color w:val="231F20"/>
                <w:sz w:val="20"/>
              </w:rPr>
              <w:t xml:space="preserve">Issued and </w:t>
            </w:r>
          </w:p>
          <w:p>
            <w:pPr>
              <w:pStyle w:val="TableContents"/>
              <w:bidi w:val="0"/>
              <w:spacing w:lineRule="auto" w:line="240" w:before="0" w:after="0"/>
              <w:jc w:val="center"/>
              <w:rPr>
                <w:rFonts w:ascii="Times New Roman;serif" w:hAnsi="Times New Roman;serif"/>
                <w:b/>
                <w:color w:val="231F20"/>
                <w:sz w:val="20"/>
              </w:rPr>
            </w:pPr>
            <w:r>
              <w:rPr>
                <w:rFonts w:ascii="Times New Roman;serif" w:hAnsi="Times New Roman;serif"/>
                <w:b/>
                <w:color w:val="231F20"/>
                <w:sz w:val="20"/>
              </w:rPr>
              <w:t>Outstanding</w:t>
            </w:r>
          </w:p>
        </w:tc>
        <w:tc>
          <w:tcPr>
            <w:tcW w:w="52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231F20"/>
                <w:sz w:val="20"/>
              </w:rPr>
            </w:pPr>
            <w:r>
              <w:rPr>
                <w:rFonts w:ascii="Times New Roman;serif" w:hAnsi="Times New Roman;serif"/>
                <w:b/>
                <w:color w:val="231F20"/>
                <w:sz w:val="20"/>
              </w:rPr>
              <w:t>Amount</w:t>
            </w:r>
          </w:p>
        </w:tc>
      </w:tr>
      <w:tr>
        <w:trPr/>
        <w:tc>
          <w:tcPr>
            <w:tcW w:w="4440" w:type="dxa"/>
            <w:gridSpan w:val="3"/>
            <w:tcBorders/>
            <w:shd w:fill="CCED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Old Xanadu Convertible Preferred Shares</w:t>
            </w:r>
          </w:p>
        </w:tc>
        <w:tc>
          <w:tcPr>
            <w:tcW w:w="1141" w:type="dxa"/>
            <w:gridSpan w:val="3"/>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199,930,069</w:t>
            </w:r>
          </w:p>
        </w:tc>
        <w:tc>
          <w:tcPr>
            <w:tcW w:w="528"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363"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213,002 </w:t>
            </w:r>
          </w:p>
        </w:tc>
        <w:tc>
          <w:tcPr>
            <w:tcW w:w="249"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tLeast" w:line="229" w:before="0" w:after="283"/>
              <w:jc w:val="left"/>
              <w:rPr>
                <w:rFonts w:ascii="Times New Roman;serif" w:hAnsi="Times New Roman;serif"/>
                <w:b w:val="false"/>
                <w:color w:val="231F20"/>
                <w:sz w:val="20"/>
              </w:rPr>
            </w:pPr>
            <w:r>
              <w:rPr>
                <w:rFonts w:ascii="Times New Roman;serif" w:hAnsi="Times New Roman;serif"/>
                <w:b w:val="false"/>
                <w:color w:val="231F20"/>
                <w:sz w:val="20"/>
              </w:rPr>
              <w:t>Old Xanadu Voting and Non-Voting Common Shares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55,964,876</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7,585</w:t>
            </w:r>
          </w:p>
        </w:tc>
      </w:tr>
      <w:tr>
        <w:trPr/>
        <w:tc>
          <w:tcPr>
            <w:tcW w:w="4440" w:type="dxa"/>
            <w:gridSpan w:val="3"/>
            <w:tcBorders/>
            <w:shd w:fill="CCEDFF" w:val="clear"/>
            <w:tcMar>
              <w:top w:w="0" w:type="dxa"/>
              <w:left w:w="0" w:type="dxa"/>
              <w:bottom w:w="0" w:type="dxa"/>
              <w:right w:w="0" w:type="dxa"/>
            </w:tcMar>
            <w:vAlign w:val="center"/>
          </w:tcPr>
          <w:p>
            <w:pPr>
              <w:pStyle w:val="TableContents"/>
              <w:bidi w:val="0"/>
              <w:spacing w:lineRule="atLeast" w:line="212" w:before="0" w:after="0"/>
              <w:jc w:val="left"/>
              <w:rPr>
                <w:rFonts w:ascii="Times New Roman;serif" w:hAnsi="Times New Roman;serif"/>
                <w:b/>
                <w:color w:val="231F20"/>
                <w:sz w:val="20"/>
              </w:rPr>
            </w:pPr>
            <w:r>
              <w:rPr>
                <w:rFonts w:ascii="Times New Roman;serif" w:hAnsi="Times New Roman;serif"/>
                <w:b/>
                <w:color w:val="231F20"/>
                <w:sz w:val="20"/>
              </w:rPr>
              <w:t>Total Old Xanadu Preferred and Common Shares</w:t>
            </w:r>
          </w:p>
        </w:tc>
        <w:tc>
          <w:tcPr>
            <w:tcW w:w="1141" w:type="dxa"/>
            <w:gridSpan w:val="3"/>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231F20"/>
                <w:sz w:val="20"/>
              </w:rPr>
            </w:pPr>
            <w:r>
              <w:rPr>
                <w:rFonts w:ascii="Times New Roman;serif" w:hAnsi="Times New Roman;serif"/>
                <w:b/>
                <w:color w:val="231F20"/>
                <w:sz w:val="20"/>
              </w:rPr>
              <w:t>255,894,945</w:t>
            </w:r>
          </w:p>
        </w:tc>
        <w:tc>
          <w:tcPr>
            <w:tcW w:w="528"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1363"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220,587</w:t>
            </w:r>
            <w:r>
              <w:rPr>
                <w:color w:val="231F20"/>
              </w:rPr>
              <w:t> </w:t>
            </w:r>
          </w:p>
        </w:tc>
        <w:tc>
          <w:tcPr>
            <w:tcW w:w="249"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color w:val="000000"/>
          <w:sz w:val="13"/>
        </w:rPr>
        <w:t xml:space="preserve">(1) </w:t>
      </w:r>
      <w:r>
        <w:rPr>
          <w:rFonts w:ascii="Times New Roman;serif" w:hAnsi="Times New Roman;serif"/>
          <w:b w:val="false"/>
          <w:color w:val="231F20"/>
          <w:sz w:val="22"/>
        </w:rPr>
        <w:t>S</w:t>
      </w:r>
      <w:r>
        <w:rPr>
          <w:rFonts w:ascii="Times New Roman;serif" w:hAnsi="Times New Roman;serif"/>
          <w:b w:val="false"/>
          <w:color w:val="231F20"/>
          <w:sz w:val="20"/>
        </w:rPr>
        <w:t xml:space="preserve">hares have been recast to </w:t>
      </w:r>
      <w:r>
        <w:rPr>
          <w:rFonts w:ascii="Times New Roman;serif" w:hAnsi="Times New Roman;serif"/>
          <w:b w:val="false"/>
          <w:color w:val="000000"/>
          <w:sz w:val="20"/>
        </w:rPr>
        <w:t>reflect the Exchange Ratio.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16840"/>
                <wp:effectExtent l="0" t="0" r="0" b="0"/>
                <wp:wrapNone/>
                <wp:docPr id="43" name="Frame4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32</w:t>
                      </w:r>
                    </w:p>
                  </w:txbxContent>
                </v:textbox>
                <w10:wrap type="none"/>
              </v:rect>
            </w:pict>
          </mc:Fallback>
        </mc:AlternateContent>
      </w:r>
    </w:p>
    <w:p>
      <w:pPr>
        <w:pStyle w:val="TextBody"/>
        <w:bidi w:val="0"/>
        <w:spacing w:lineRule="auto" w:line="288" w:before="0" w:after="0"/>
        <w:ind w:left="0" w:right="0" w:hanging="117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pPr>
      <w:r>
        <w:rPr>
          <w:rFonts w:ascii="Times New Roman;serif" w:hAnsi="Times New Roman;serif"/>
          <w:b/>
          <w:color w:val="231F20"/>
          <w:sz w:val="20"/>
        </w:rPr>
        <w:t>XANADU</w:t>
      </w:r>
      <w:r>
        <w:rPr>
          <w:color w:val="231F20"/>
        </w:rPr>
        <w:t xml:space="preserve"> </w:t>
      </w:r>
      <w:r>
        <w:rPr>
          <w:rFonts w:ascii="Times New Roman;serif" w:hAnsi="Times New Roman;serif"/>
          <w:b/>
          <w:color w:val="231F20"/>
          <w:sz w:val="20"/>
        </w:rPr>
        <w:t>QUANTUM</w:t>
      </w:r>
      <w:r>
        <w:rPr>
          <w:color w:val="231F20"/>
        </w:rPr>
        <w:t xml:space="preserve"> </w:t>
      </w:r>
      <w:r>
        <w:rPr>
          <w:rFonts w:ascii="Times New Roman;serif" w:hAnsi="Times New Roman;serif"/>
          <w:b/>
          <w:color w:val="231F20"/>
          <w:sz w:val="20"/>
        </w:rPr>
        <w:t>TECHNOLOGIES LIMITED</w:t>
      </w:r>
    </w:p>
    <w:p>
      <w:pPr>
        <w:pStyle w:val="TextBody"/>
        <w:bidi w:val="0"/>
        <w:spacing w:lineRule="auto" w:line="288" w:before="0" w:after="0"/>
        <w:jc w:val="center"/>
        <w:rPr/>
      </w:pPr>
      <w:r>
        <w:rPr>
          <w:rFonts w:ascii="Times New Roman;serif" w:hAnsi="Times New Roman;serif"/>
          <w:b/>
          <w:color w:val="231F20"/>
          <w:sz w:val="20"/>
        </w:rPr>
        <w:t>Notes</w:t>
      </w:r>
      <w:r>
        <w:rPr>
          <w:color w:val="231F20"/>
        </w:rPr>
        <w:t xml:space="preserve"> </w:t>
      </w:r>
      <w:r>
        <w:rPr>
          <w:rFonts w:ascii="Times New Roman;serif" w:hAnsi="Times New Roman;serif"/>
          <w:b/>
          <w:color w:val="231F20"/>
          <w:sz w:val="20"/>
        </w:rPr>
        <w:t>to</w:t>
      </w:r>
      <w:r>
        <w:rPr>
          <w:color w:val="231F20"/>
        </w:rPr>
        <w:t xml:space="preserve"> </w:t>
      </w:r>
      <w:r>
        <w:rPr>
          <w:rFonts w:ascii="Times New Roman;serif" w:hAnsi="Times New Roman;serif"/>
          <w:b/>
          <w:color w:val="231F20"/>
          <w:sz w:val="20"/>
        </w:rPr>
        <w:t>the</w:t>
      </w:r>
      <w:r>
        <w:rPr>
          <w:color w:val="231F20"/>
        </w:rPr>
        <w:t xml:space="preserve"> </w:t>
      </w:r>
      <w:r>
        <w:rPr>
          <w:rFonts w:ascii="Times New Roman;serif" w:hAnsi="Times New Roman;serif"/>
          <w:b/>
          <w:color w:val="231F20"/>
          <w:sz w:val="20"/>
        </w:rPr>
        <w:t>Condensed</w:t>
      </w:r>
      <w:r>
        <w:rPr>
          <w:color w:val="231F20"/>
        </w:rPr>
        <w:t xml:space="preserve"> </w:t>
      </w:r>
      <w:r>
        <w:rPr>
          <w:rFonts w:ascii="Times New Roman;serif" w:hAnsi="Times New Roman;serif"/>
          <w:b/>
          <w:color w:val="231F20"/>
          <w:sz w:val="20"/>
        </w:rPr>
        <w:t>Consolidated</w:t>
      </w:r>
      <w:r>
        <w:rPr>
          <w:color w:val="231F20"/>
        </w:rPr>
        <w:t xml:space="preserve"> </w:t>
      </w:r>
      <w:r>
        <w:rPr>
          <w:rFonts w:ascii="Times New Roman;serif" w:hAnsi="Times New Roman;serif"/>
          <w:b/>
          <w:color w:val="231F20"/>
          <w:sz w:val="20"/>
        </w:rPr>
        <w:t>Financial</w:t>
      </w:r>
      <w:r>
        <w:rPr>
          <w:color w:val="231F20"/>
        </w:rPr>
        <w:t xml:space="preserve"> </w:t>
      </w:r>
      <w:r>
        <w:rPr>
          <w:rFonts w:ascii="Times New Roman;serif" w:hAnsi="Times New Roman;serif"/>
          <w:b/>
          <w:color w:val="231F20"/>
          <w:sz w:val="20"/>
        </w:rPr>
        <w:t xml:space="preserve">Statements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 except for share and per share amounts, ratios or as otherwise noted)</w:t>
      </w:r>
    </w:p>
    <w:p>
      <w:pPr>
        <w:pStyle w:val="TextBody"/>
        <w:bidi w:val="0"/>
        <w:spacing w:before="0" w:after="0"/>
        <w:jc w:val="center"/>
        <w:rPr/>
      </w:pPr>
      <w:r>
        <w:rPr/>
      </w:r>
    </w:p>
    <w:p>
      <w:pPr>
        <w:pStyle w:val="TextBody"/>
        <w:bidi w:val="0"/>
        <w:spacing w:lineRule="auto" w:line="288" w:before="0" w:after="16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following table summarizes the changes in issued and outstanding common shares and share capital by class for the six months ended June 30, 2026:</w:t>
      </w:r>
    </w:p>
    <w:tbl>
      <w:tblPr>
        <w:tblW w:w="13274" w:type="dxa"/>
        <w:jc w:val="left"/>
        <w:tblInd w:w="0" w:type="dxa"/>
        <w:tblLayout w:type="fixed"/>
        <w:tblCellMar>
          <w:top w:w="28" w:type="dxa"/>
          <w:left w:w="28" w:type="dxa"/>
          <w:bottom w:w="28" w:type="dxa"/>
          <w:right w:w="28" w:type="dxa"/>
        </w:tblCellMar>
      </w:tblPr>
      <w:tblGrid>
        <w:gridCol w:w="577"/>
        <w:gridCol w:w="244"/>
        <w:gridCol w:w="245"/>
        <w:gridCol w:w="109"/>
        <w:gridCol w:w="109"/>
        <w:gridCol w:w="109"/>
        <w:gridCol w:w="293"/>
        <w:gridCol w:w="293"/>
        <w:gridCol w:w="300"/>
        <w:gridCol w:w="109"/>
        <w:gridCol w:w="109"/>
        <w:gridCol w:w="109"/>
        <w:gridCol w:w="181"/>
        <w:gridCol w:w="616"/>
        <w:gridCol w:w="109"/>
        <w:gridCol w:w="109"/>
        <w:gridCol w:w="109"/>
        <w:gridCol w:w="109"/>
        <w:gridCol w:w="268"/>
        <w:gridCol w:w="268"/>
        <w:gridCol w:w="275"/>
        <w:gridCol w:w="109"/>
        <w:gridCol w:w="109"/>
        <w:gridCol w:w="109"/>
        <w:gridCol w:w="181"/>
        <w:gridCol w:w="466"/>
        <w:gridCol w:w="109"/>
        <w:gridCol w:w="109"/>
        <w:gridCol w:w="109"/>
        <w:gridCol w:w="109"/>
        <w:gridCol w:w="290"/>
        <w:gridCol w:w="290"/>
        <w:gridCol w:w="261"/>
        <w:gridCol w:w="109"/>
        <w:gridCol w:w="109"/>
        <w:gridCol w:w="109"/>
        <w:gridCol w:w="181"/>
        <w:gridCol w:w="646"/>
        <w:gridCol w:w="109"/>
        <w:gridCol w:w="109"/>
        <w:gridCol w:w="109"/>
        <w:gridCol w:w="109"/>
        <w:gridCol w:w="263"/>
        <w:gridCol w:w="263"/>
        <w:gridCol w:w="240"/>
        <w:gridCol w:w="109"/>
        <w:gridCol w:w="109"/>
        <w:gridCol w:w="109"/>
        <w:gridCol w:w="181"/>
        <w:gridCol w:w="646"/>
        <w:gridCol w:w="109"/>
        <w:gridCol w:w="109"/>
        <w:gridCol w:w="109"/>
        <w:gridCol w:w="109"/>
        <w:gridCol w:w="435"/>
        <w:gridCol w:w="436"/>
        <w:gridCol w:w="181"/>
        <w:gridCol w:w="109"/>
        <w:gridCol w:w="109"/>
        <w:gridCol w:w="109"/>
        <w:gridCol w:w="181"/>
        <w:gridCol w:w="646"/>
        <w:gridCol w:w="221"/>
      </w:tblGrid>
      <w:tr>
        <w:trPr/>
        <w:tc>
          <w:tcPr>
            <w:tcW w:w="5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2"/>
              </w:rPr>
            </w:pPr>
            <w:r>
              <w:rPr>
                <w:rFonts w:ascii="Times New Roman;serif" w:hAnsi="Times New Roman;serif"/>
                <w:b/>
                <w:color w:val="231F20"/>
                <w:sz w:val="12"/>
              </w:rPr>
              <w:t>Old Xanadu Convertible Preferred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2"/>
              </w:rPr>
            </w:pPr>
            <w:r>
              <w:rPr>
                <w:rFonts w:ascii="Times New Roman;serif" w:hAnsi="Times New Roman;serif"/>
                <w:b/>
                <w:color w:val="231F20"/>
                <w:sz w:val="12"/>
              </w:rPr>
              <w:t>Old Xanadu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2"/>
              </w:rPr>
            </w:pPr>
            <w:r>
              <w:rPr>
                <w:rFonts w:ascii="Times New Roman;serif" w:hAnsi="Times New Roman;serif"/>
                <w:b/>
                <w:color w:val="231F20"/>
                <w:sz w:val="12"/>
              </w:rPr>
              <w:t>Class A Multiple Voting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2"/>
              </w:rPr>
            </w:pPr>
            <w:r>
              <w:rPr>
                <w:rFonts w:ascii="Times New Roman;serif" w:hAnsi="Times New Roman;serif"/>
                <w:b/>
                <w:color w:val="231F20"/>
                <w:sz w:val="12"/>
              </w:rPr>
              <w:t>Class B Subordinate Voting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2"/>
              </w:rPr>
            </w:pPr>
            <w:r>
              <w:rPr>
                <w:rFonts w:ascii="Times New Roman;serif" w:hAnsi="Times New Roman;serif"/>
                <w:b/>
                <w:color w:val="231F20"/>
                <w:sz w:val="12"/>
              </w:rPr>
              <w:t>Total Common Shares and Share Capital</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2"/>
              </w:rPr>
            </w:pPr>
            <w:r>
              <w:rPr>
                <w:rFonts w:ascii="Times New Roman;serif" w:hAnsi="Times New Roman;serif"/>
                <w:b/>
                <w:color w:val="231F20"/>
                <w:sz w:val="12"/>
              </w:rPr>
              <w:t>Number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2"/>
              </w:rPr>
            </w:pPr>
            <w:r>
              <w:rPr>
                <w:rFonts w:ascii="Times New Roman;serif" w:hAnsi="Times New Roman;serif"/>
                <w:b/>
                <w:color w:val="231F2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2"/>
              </w:rPr>
            </w:pPr>
            <w:r>
              <w:rPr>
                <w:rFonts w:ascii="Times New Roman;serif" w:hAnsi="Times New Roman;serif"/>
                <w:b/>
                <w:color w:val="231F20"/>
                <w:sz w:val="12"/>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2"/>
              </w:rPr>
            </w:pPr>
            <w:r>
              <w:rPr>
                <w:rFonts w:ascii="Times New Roman;serif" w:hAnsi="Times New Roman;serif"/>
                <w:b/>
                <w:color w:val="231F2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2"/>
              </w:rPr>
            </w:pPr>
            <w:r>
              <w:rPr>
                <w:rFonts w:ascii="Times New Roman;serif" w:hAnsi="Times New Roman;serif"/>
                <w:b/>
                <w:color w:val="231F20"/>
                <w:sz w:val="12"/>
              </w:rPr>
              <w:t>Number</w:t>
            </w:r>
          </w:p>
        </w:tc>
        <w:tc>
          <w:tcPr>
            <w:tcW w:w="327" w:type="dxa"/>
            <w:gridSpan w:val="3"/>
            <w:tcBorders>
              <w:top w:val="single" w:sz="4"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2"/>
              </w:rPr>
            </w:pPr>
            <w:r>
              <w:rPr>
                <w:rFonts w:ascii="Times New Roman;serif" w:hAnsi="Times New Roman;serif"/>
                <w:b/>
                <w:color w:val="231F2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2"/>
              </w:rPr>
            </w:pPr>
            <w:r>
              <w:rPr>
                <w:rFonts w:ascii="Times New Roman;serif" w:hAnsi="Times New Roman;serif"/>
                <w:b/>
                <w:color w:val="231F20"/>
                <w:sz w:val="12"/>
              </w:rPr>
              <w:t>Number</w:t>
            </w:r>
          </w:p>
        </w:tc>
        <w:tc>
          <w:tcPr>
            <w:tcW w:w="327" w:type="dxa"/>
            <w:gridSpan w:val="3"/>
            <w:tcBorders>
              <w:top w:val="single" w:sz="4"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2"/>
              </w:rPr>
            </w:pPr>
            <w:r>
              <w:rPr>
                <w:rFonts w:ascii="Times New Roman;serif" w:hAnsi="Times New Roman;serif"/>
                <w:b/>
                <w:color w:val="231F2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Number</w:t>
            </w:r>
          </w:p>
        </w:tc>
        <w:tc>
          <w:tcPr>
            <w:tcW w:w="327" w:type="dxa"/>
            <w:gridSpan w:val="3"/>
            <w:tcBorders>
              <w:top w:val="single" w:sz="4"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r>
      <w:tr>
        <w:trPr/>
        <w:tc>
          <w:tcPr>
            <w:tcW w:w="1066" w:type="dxa"/>
            <w:gridSpan w:val="3"/>
            <w:tcBorders/>
            <w:shd w:fill="CCEDFF" w:val="clear"/>
            <w:tcMar>
              <w:top w:w="0" w:type="dxa"/>
              <w:left w:w="0" w:type="dxa"/>
              <w:bottom w:w="0" w:type="dxa"/>
              <w:right w:w="0" w:type="dxa"/>
            </w:tcMar>
            <w:vAlign w:val="center"/>
          </w:tcPr>
          <w:p>
            <w:pPr>
              <w:pStyle w:val="TableContents"/>
              <w:bidi w:val="0"/>
              <w:spacing w:lineRule="auto" w:line="288" w:before="0" w:after="0"/>
              <w:ind w:left="0" w:right="0" w:firstLine="90"/>
              <w:jc w:val="left"/>
              <w:rPr/>
            </w:pPr>
            <w:r>
              <w:rPr>
                <w:rFonts w:ascii="Times New Roman;serif" w:hAnsi="Times New Roman;serif"/>
                <w:b w:val="false"/>
                <w:color w:val="231F20"/>
                <w:sz w:val="14"/>
              </w:rPr>
              <w:t>Balance as of December 31, 2025</w:t>
            </w:r>
            <w:r>
              <w:rPr>
                <w:color w:val="231F20"/>
              </w:rPr>
              <w:t xml:space="preserve"> </w:t>
            </w:r>
            <w:r>
              <w:rPr>
                <w:rFonts w:ascii="Times New Roman;serif" w:hAnsi="Times New Roman;serif"/>
                <w:b w:val="false"/>
                <w:color w:val="231F20"/>
                <w:sz w:val="14"/>
              </w:rPr>
              <w:t xml:space="preserve">as adjusted </w:t>
            </w:r>
            <w:r>
              <w:rPr>
                <w:rFonts w:ascii="Times New Roman;serif" w:hAnsi="Times New Roman;serif"/>
                <w:b w:val="false"/>
                <w:color w:val="231F20"/>
                <w:sz w:val="9"/>
              </w:rPr>
              <w:t>(1)</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199,930,069</w:t>
            </w:r>
          </w:p>
        </w:tc>
        <w:tc>
          <w:tcPr>
            <w:tcW w:w="32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4"/>
              </w:rPr>
            </w:pPr>
            <w:r>
              <w:rPr>
                <w:rFonts w:ascii="Times New Roman;serif" w:hAnsi="Times New Roman;serif"/>
                <w:b w:val="false"/>
                <w:color w:val="231F20"/>
                <w:sz w:val="14"/>
              </w:rPr>
              <w:t>$</w:t>
            </w:r>
          </w:p>
        </w:tc>
        <w:tc>
          <w:tcPr>
            <w:tcW w:w="61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213,002 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55,964,876</w:t>
            </w:r>
          </w:p>
        </w:tc>
        <w:tc>
          <w:tcPr>
            <w:tcW w:w="32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4"/>
              </w:rPr>
            </w:pPr>
            <w:r>
              <w:rPr>
                <w:rFonts w:ascii="Times New Roman;serif" w:hAnsi="Times New Roman;serif"/>
                <w:b w:val="false"/>
                <w:color w:val="231F20"/>
                <w:sz w:val="14"/>
              </w:rPr>
              <w:t>$</w:t>
            </w:r>
          </w:p>
        </w:tc>
        <w:tc>
          <w:tcPr>
            <w:tcW w:w="46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7,585 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261"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231F2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4"/>
              </w:rPr>
            </w:pPr>
            <w:r>
              <w:rPr>
                <w:rFonts w:ascii="Times New Roman;serif" w:hAnsi="Times New Roman;serif"/>
                <w:b w:val="false"/>
                <w:color w:val="231F20"/>
                <w:sz w:val="14"/>
              </w:rPr>
              <w:t>$</w:t>
            </w:r>
          </w:p>
        </w:tc>
        <w:tc>
          <w:tcPr>
            <w:tcW w:w="646"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240"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231F2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4"/>
              </w:rPr>
            </w:pPr>
            <w:r>
              <w:rPr>
                <w:rFonts w:ascii="Times New Roman;serif" w:hAnsi="Times New Roman;serif"/>
                <w:b w:val="false"/>
                <w:color w:val="231F20"/>
                <w:sz w:val="14"/>
              </w:rPr>
              <w:t>$</w:t>
            </w:r>
          </w:p>
        </w:tc>
        <w:tc>
          <w:tcPr>
            <w:tcW w:w="646"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255,894,945 </w:t>
            </w:r>
          </w:p>
        </w:tc>
        <w:tc>
          <w:tcPr>
            <w:tcW w:w="181"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4"/>
              </w:rPr>
            </w:pPr>
            <w:r>
              <w:rPr>
                <w:rFonts w:ascii="Times New Roman;serif" w:hAnsi="Times New Roman;serif"/>
                <w:b w:val="false"/>
                <w:color w:val="231F20"/>
                <w:sz w:val="14"/>
              </w:rPr>
              <w:t>$</w:t>
            </w:r>
          </w:p>
        </w:tc>
        <w:tc>
          <w:tcPr>
            <w:tcW w:w="64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220,587 </w:t>
            </w:r>
          </w:p>
        </w:tc>
        <w:tc>
          <w:tcPr>
            <w:tcW w:w="22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imes New Roman;serif" w:hAnsi="Times New Roman;serif"/>
                <w:b w:val="false"/>
                <w:color w:val="000000"/>
                <w:sz w:val="14"/>
              </w:rPr>
              <w:t>Issuance of common shares</w:t>
            </w:r>
            <w:r>
              <w:rPr>
                <w:color w:val="000000"/>
              </w:rPr>
              <w:t xml:space="preserve"> </w:t>
            </w:r>
            <w:r>
              <w:rPr>
                <w:rFonts w:ascii="Times New Roman;serif" w:hAnsi="Times New Roman;serif"/>
                <w:b w:val="false"/>
                <w:color w:val="000000"/>
                <w:sz w:val="14"/>
              </w:rPr>
              <w:t>upon</w:t>
            </w:r>
            <w:r>
              <w:rPr>
                <w:color w:val="000000"/>
              </w:rPr>
              <w:t xml:space="preserve"> </w:t>
            </w:r>
            <w:r>
              <w:rPr>
                <w:rFonts w:ascii="Times New Roman;serif" w:hAnsi="Times New Roman;serif"/>
                <w:b w:val="false"/>
                <w:color w:val="000000"/>
                <w:sz w:val="14"/>
              </w:rPr>
              <w:t>exercise</w:t>
            </w:r>
            <w:r>
              <w:rPr>
                <w:color w:val="000000"/>
              </w:rPr>
              <w:t xml:space="preserve"> </w:t>
            </w:r>
            <w:r>
              <w:rPr>
                <w:rFonts w:ascii="Times New Roman;serif" w:hAnsi="Times New Roman;serif"/>
                <w:b w:val="false"/>
                <w:color w:val="000000"/>
                <w:sz w:val="14"/>
              </w:rPr>
              <w:t>of</w:t>
            </w:r>
            <w:r>
              <w:rPr>
                <w:color w:val="000000"/>
              </w:rPr>
              <w:t xml:space="preserve"> </w:t>
            </w:r>
            <w:r>
              <w:rPr>
                <w:rFonts w:ascii="Times New Roman;serif" w:hAnsi="Times New Roman;serif"/>
                <w:b w:val="false"/>
                <w:color w:val="000000"/>
                <w:sz w:val="14"/>
              </w:rPr>
              <w:t>stock</w:t>
            </w:r>
            <w:r>
              <w:rPr>
                <w:color w:val="000000"/>
              </w:rPr>
              <w:t xml:space="preserve"> </w:t>
            </w:r>
            <w:r>
              <w:rPr>
                <w:rFonts w:ascii="Times New Roman;serif" w:hAnsi="Times New Roman;serif"/>
                <w:b w:val="false"/>
                <w:color w:val="000000"/>
                <w:sz w:val="14"/>
              </w:rPr>
              <w:t>options and vesting of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1,935,116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1,153 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1,935,116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1,153 </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066" w:type="dxa"/>
            <w:gridSpan w:val="3"/>
            <w:tcBorders/>
            <w:shd w:fill="CCEDFF" w:val="clear"/>
            <w:tcMar>
              <w:top w:w="0" w:type="dxa"/>
              <w:left w:w="0" w:type="dxa"/>
              <w:bottom w:w="0" w:type="dxa"/>
              <w:right w:w="0" w:type="dxa"/>
            </w:tcMar>
            <w:vAlign w:val="center"/>
          </w:tcPr>
          <w:p>
            <w:pPr>
              <w:pStyle w:val="TableContents"/>
              <w:bidi w:val="0"/>
              <w:spacing w:lineRule="atLeast" w:line="210" w:before="0" w:after="283"/>
              <w:jc w:val="left"/>
              <w:rPr>
                <w:rFonts w:ascii="Times New Roman;serif" w:hAnsi="Times New Roman;serif"/>
                <w:b w:val="false"/>
                <w:color w:val="231F20"/>
                <w:sz w:val="14"/>
              </w:rPr>
            </w:pPr>
            <w:r>
              <w:rPr>
                <w:rFonts w:ascii="Times New Roman;serif" w:hAnsi="Times New Roman;serif"/>
                <w:b w:val="false"/>
                <w:color w:val="231F20"/>
                <w:sz w:val="14"/>
              </w:rPr>
              <w:t>Issuance of common shares upon exchange of Old Xanadu's preferred and common shares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(199,930,069)</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(213,002)</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(55,964,876)</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(7,585)</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254,709,401</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220,098 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1,185,544</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489 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221" w:type="dxa"/>
            <w:tcBorders/>
            <w:shd w:fill="CCED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tLeast" w:line="210" w:before="0" w:after="0"/>
              <w:jc w:val="left"/>
              <w:rPr>
                <w:rFonts w:ascii="Times New Roman;serif" w:hAnsi="Times New Roman;serif"/>
                <w:b w:val="false"/>
                <w:color w:val="231F20"/>
                <w:sz w:val="14"/>
              </w:rPr>
            </w:pPr>
            <w:r>
              <w:rPr>
                <w:rFonts w:ascii="Times New Roman;serif" w:hAnsi="Times New Roman;serif"/>
                <w:b w:val="false"/>
                <w:color w:val="231F20"/>
                <w:sz w:val="14"/>
              </w:rPr>
              <w:t>Reverse Recapitalization and PIPE transaction,</w:t>
            </w:r>
          </w:p>
          <w:p>
            <w:pPr>
              <w:pStyle w:val="TableContents"/>
              <w:bidi w:val="0"/>
              <w:spacing w:lineRule="atLeast" w:line="210" w:before="0" w:after="0"/>
              <w:jc w:val="left"/>
              <w:rPr>
                <w:rFonts w:ascii="Times New Roman;serif" w:hAnsi="Times New Roman;serif"/>
                <w:b w:val="false"/>
                <w:color w:val="231F20"/>
                <w:sz w:val="14"/>
              </w:rPr>
            </w:pPr>
            <w:r>
              <w:rPr>
                <w:rFonts w:ascii="Times New Roman;serif" w:hAnsi="Times New Roman;serif"/>
                <w:b w:val="false"/>
                <w:color w:val="231F20"/>
                <w:sz w:val="14"/>
              </w:rPr>
              <w:t>net of 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40,308,912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265,006 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40,308,912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265,006 </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066" w:type="dxa"/>
            <w:gridSpan w:val="3"/>
            <w:tcBorders/>
            <w:shd w:fill="CCEDFF" w:val="clear"/>
            <w:tcMar>
              <w:top w:w="0" w:type="dxa"/>
              <w:left w:w="0" w:type="dxa"/>
              <w:bottom w:w="0" w:type="dxa"/>
              <w:right w:w="0" w:type="dxa"/>
            </w:tcMar>
            <w:vAlign w:val="center"/>
          </w:tcPr>
          <w:p>
            <w:pPr>
              <w:pStyle w:val="TableContents"/>
              <w:bidi w:val="0"/>
              <w:spacing w:lineRule="atLeast" w:line="210" w:before="0" w:after="0"/>
              <w:jc w:val="left"/>
              <w:rPr>
                <w:rFonts w:ascii="Times New Roman;serif" w:hAnsi="Times New Roman;serif"/>
                <w:b w:val="false"/>
                <w:color w:val="231F20"/>
                <w:sz w:val="14"/>
              </w:rPr>
            </w:pPr>
            <w:r>
              <w:rPr>
                <w:rFonts w:ascii="Times New Roman;serif" w:hAnsi="Times New Roman;serif"/>
                <w:b w:val="false"/>
                <w:color w:val="231F20"/>
                <w:sz w:val="14"/>
              </w:rPr>
              <w:t>Earn-out share liability at Closing</w:t>
            </w:r>
          </w:p>
          <w:p>
            <w:pPr>
              <w:pStyle w:val="TableContents"/>
              <w:bidi w:val="0"/>
              <w:spacing w:lineRule="atLeast" w:line="210" w:before="0" w:after="0"/>
              <w:jc w:val="left"/>
              <w:rPr>
                <w:rFonts w:ascii="Times New Roman;serif" w:hAnsi="Times New Roman;serif"/>
                <w:b w:val="false"/>
                <w:color w:val="231F20"/>
                <w:sz w:val="14"/>
              </w:rPr>
            </w:pPr>
            <w:r>
              <w:rPr>
                <w:rFonts w:ascii="Times New Roman;serif" w:hAnsi="Times New Roman;serif"/>
                <w:b w:val="false"/>
                <w:color w:val="231F20"/>
                <w:sz w:val="14"/>
              </w:rPr>
              <w:t>of Reverse Recapitalization</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(9,997)</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(9,997)</w:t>
            </w:r>
          </w:p>
        </w:tc>
        <w:tc>
          <w:tcPr>
            <w:tcW w:w="221" w:type="dxa"/>
            <w:tcBorders/>
            <w:shd w:fill="CCED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tLeast" w:line="210" w:before="0" w:after="283"/>
              <w:jc w:val="left"/>
              <w:rPr>
                <w:rFonts w:ascii="Times New Roman;serif" w:hAnsi="Times New Roman;serif"/>
                <w:b w:val="false"/>
                <w:color w:val="231F20"/>
                <w:sz w:val="14"/>
              </w:rPr>
            </w:pPr>
            <w:r>
              <w:rPr>
                <w:rFonts w:ascii="Times New Roman;serif" w:hAnsi="Times New Roman;serif"/>
                <w:b w:val="false"/>
                <w:color w:val="231F20"/>
                <w:sz w:val="14"/>
              </w:rPr>
              <w:t>Conversion of Earn-out Share liability to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17,761 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17,761 </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066" w:type="dxa"/>
            <w:gridSpan w:val="3"/>
            <w:tcBorders/>
            <w:shd w:fill="CCEDFF" w:val="clear"/>
            <w:tcMar>
              <w:top w:w="0" w:type="dxa"/>
              <w:left w:w="0" w:type="dxa"/>
              <w:bottom w:w="0" w:type="dxa"/>
              <w:right w:w="0" w:type="dxa"/>
            </w:tcMar>
            <w:vAlign w:val="center"/>
          </w:tcPr>
          <w:p>
            <w:pPr>
              <w:pStyle w:val="TableContents"/>
              <w:bidi w:val="0"/>
              <w:spacing w:lineRule="atLeast" w:line="210" w:before="0" w:after="283"/>
              <w:jc w:val="left"/>
              <w:rPr>
                <w:rFonts w:ascii="Times New Roman;serif" w:hAnsi="Times New Roman;serif"/>
                <w:b w:val="false"/>
                <w:color w:val="231F20"/>
                <w:sz w:val="14"/>
              </w:rPr>
            </w:pPr>
            <w:r>
              <w:rPr>
                <w:rFonts w:ascii="Times New Roman;serif" w:hAnsi="Times New Roman;serif"/>
                <w:b w:val="false"/>
                <w:color w:val="231F20"/>
                <w:sz w:val="14"/>
              </w:rPr>
              <w:t>Issuance of common shares in connection with synthetic at-the-market facility, net of issuance costs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27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5,467,524</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68,815 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5,467,524 </w:t>
            </w:r>
          </w:p>
        </w:tc>
        <w:tc>
          <w:tcPr>
            <w:tcW w:w="18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68,815 </w:t>
            </w:r>
          </w:p>
        </w:tc>
        <w:tc>
          <w:tcPr>
            <w:tcW w:w="221" w:type="dxa"/>
            <w:tcBorders/>
            <w:shd w:fill="CCED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tLeast" w:line="210" w:before="0" w:after="283"/>
              <w:jc w:val="left"/>
              <w:rPr>
                <w:rFonts w:ascii="Times New Roman;serif" w:hAnsi="Times New Roman;serif"/>
                <w:b w:val="false"/>
                <w:color w:val="231F20"/>
                <w:sz w:val="14"/>
              </w:rPr>
            </w:pPr>
            <w:r>
              <w:rPr>
                <w:rFonts w:ascii="Times New Roman;serif" w:hAnsi="Times New Roman;serif"/>
                <w:b w:val="false"/>
                <w:color w:val="231F20"/>
                <w:sz w:val="14"/>
              </w:rPr>
              <w:t>Issuance of common shares for advisor fees related to the Reverse Recapitalization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100,000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1,445 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100,000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1,445 </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066" w:type="dxa"/>
            <w:gridSpan w:val="3"/>
            <w:tcBorders/>
            <w:shd w:fill="CCEDFF" w:val="clear"/>
            <w:tcMar>
              <w:top w:w="0" w:type="dxa"/>
              <w:left w:w="0" w:type="dxa"/>
              <w:bottom w:w="0" w:type="dxa"/>
              <w:right w:w="0" w:type="dxa"/>
            </w:tcMar>
            <w:vAlign w:val="center"/>
          </w:tcPr>
          <w:p>
            <w:pPr>
              <w:pStyle w:val="TableContents"/>
              <w:bidi w:val="0"/>
              <w:spacing w:lineRule="atLeast" w:line="210" w:before="0" w:after="283"/>
              <w:jc w:val="left"/>
              <w:rPr>
                <w:rFonts w:ascii="Times New Roman;serif" w:hAnsi="Times New Roman;serif"/>
                <w:b w:val="false"/>
                <w:color w:val="231F20"/>
                <w:sz w:val="14"/>
              </w:rPr>
            </w:pPr>
            <w:r>
              <w:rPr>
                <w:rFonts w:ascii="Times New Roman;serif" w:hAnsi="Times New Roman;serif"/>
                <w:b w:val="false"/>
                <w:color w:val="231F20"/>
                <w:sz w:val="14"/>
              </w:rPr>
              <w:t>Warrant exercise</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517,527</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1,397 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517,527</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1,397 </w:t>
            </w:r>
          </w:p>
        </w:tc>
        <w:tc>
          <w:tcPr>
            <w:tcW w:w="221" w:type="dxa"/>
            <w:tcBorders/>
            <w:shd w:fill="CCED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tLeast" w:line="210" w:before="0" w:after="283"/>
              <w:jc w:val="left"/>
              <w:rPr>
                <w:rFonts w:ascii="Times New Roman;serif" w:hAnsi="Times New Roman;serif"/>
                <w:b w:val="false"/>
                <w:color w:val="231F20"/>
                <w:sz w:val="14"/>
              </w:rPr>
            </w:pPr>
            <w:r>
              <w:rPr>
                <w:rFonts w:ascii="Times New Roman;serif" w:hAnsi="Times New Roman;serif"/>
                <w:b w:val="false"/>
                <w:color w:val="231F20"/>
                <w:sz w:val="14"/>
              </w:rPr>
              <w:t>Class A Multiple Voting Shares converted to Class B Subordinate Voting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(3,671,164)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(4,123)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3,671,164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4"/>
              </w:rPr>
            </w:pPr>
            <w:r>
              <w:rPr>
                <w:rFonts w:ascii="Times New Roman;serif" w:hAnsi="Times New Roman;serif"/>
                <w:b w:val="false"/>
                <w:color w:val="231F20"/>
                <w:sz w:val="14"/>
              </w:rPr>
              <w:t>4,123 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DFF" w:val="clear"/>
            <w:tcMar>
              <w:top w:w="0" w:type="dxa"/>
              <w:left w:w="0" w:type="dxa"/>
              <w:bottom w:w="0" w:type="dxa"/>
              <w:right w:w="0" w:type="dxa"/>
            </w:tcMar>
            <w:vAlign w:val="center"/>
          </w:tcPr>
          <w:p>
            <w:pPr>
              <w:pStyle w:val="TableContents"/>
              <w:bidi w:val="0"/>
              <w:spacing w:lineRule="atLeast" w:line="210" w:before="0" w:after="283"/>
              <w:jc w:val="left"/>
              <w:rPr>
                <w:rFonts w:ascii="Times New Roman;serif" w:hAnsi="Times New Roman;serif"/>
                <w:b/>
                <w:color w:val="231F20"/>
                <w:sz w:val="14"/>
              </w:rPr>
            </w:pPr>
            <w:r>
              <w:rPr>
                <w:rFonts w:ascii="Times New Roman;serif" w:hAnsi="Times New Roman;serif"/>
                <w:b/>
                <w:color w:val="231F20"/>
                <w:sz w:val="14"/>
              </w:rPr>
              <w:t>Balance as of June 30, 2026</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14"/>
              </w:rPr>
            </w:pPr>
            <w:r>
              <w:rPr>
                <w:rFonts w:ascii="Times New Roman;serif" w:hAnsi="Times New Roman;serif"/>
                <w:b/>
                <w:color w:val="231F20"/>
                <w:sz w:val="14"/>
              </w:rPr>
              <w:t>$</w:t>
            </w:r>
          </w:p>
        </w:tc>
        <w:tc>
          <w:tcPr>
            <w:tcW w:w="725" w:type="dxa"/>
            <w:gridSpan w:val="2"/>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14"/>
              </w:rPr>
            </w:pPr>
            <w:r>
              <w:rPr>
                <w:rFonts w:ascii="Times New Roman;serif" w:hAnsi="Times New Roman;serif"/>
                <w:b/>
                <w:color w:val="231F20"/>
                <w:sz w:val="14"/>
              </w:rPr>
              <w:t>$</w:t>
            </w:r>
          </w:p>
        </w:tc>
        <w:tc>
          <w:tcPr>
            <w:tcW w:w="575" w:type="dxa"/>
            <w:gridSpan w:val="2"/>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231F20"/>
                <w:sz w:val="14"/>
              </w:rPr>
            </w:pPr>
            <w:r>
              <w:rPr>
                <w:rFonts w:ascii="Times New Roman;serif" w:hAnsi="Times New Roman;serif"/>
                <w:b/>
                <w:color w:val="231F20"/>
                <w:sz w:val="14"/>
              </w:rPr>
              <w:t>251,555,764</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14"/>
              </w:rPr>
            </w:pPr>
            <w:r>
              <w:rPr>
                <w:rFonts w:ascii="Times New Roman;serif" w:hAnsi="Times New Roman;serif"/>
                <w:b/>
                <w:color w:val="231F20"/>
                <w:sz w:val="14"/>
              </w:rPr>
              <w:t>$</w:t>
            </w:r>
          </w:p>
        </w:tc>
        <w:tc>
          <w:tcPr>
            <w:tcW w:w="64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14"/>
              </w:rPr>
              <w:t>217,372</w:t>
            </w:r>
            <w:r>
              <w:rPr>
                <w:color w:val="231F20"/>
              </w:rPr>
              <w:t>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231F20"/>
                <w:sz w:val="14"/>
              </w:rPr>
            </w:pPr>
            <w:r>
              <w:rPr>
                <w:rFonts w:ascii="Times New Roman;serif" w:hAnsi="Times New Roman;serif"/>
                <w:b/>
                <w:color w:val="231F20"/>
                <w:sz w:val="14"/>
              </w:rPr>
              <w:t>52,668,260</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14"/>
              </w:rPr>
            </w:pPr>
            <w:r>
              <w:rPr>
                <w:rFonts w:ascii="Times New Roman;serif" w:hAnsi="Times New Roman;serif"/>
                <w:b/>
                <w:color w:val="231F20"/>
                <w:sz w:val="14"/>
              </w:rPr>
              <w:t>$</w:t>
            </w:r>
          </w:p>
        </w:tc>
        <w:tc>
          <w:tcPr>
            <w:tcW w:w="64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14"/>
              </w:rPr>
              <w:t>348,795</w:t>
            </w:r>
            <w:r>
              <w:rPr>
                <w:color w:val="231F20"/>
              </w:rPr>
              <w:t>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231F20"/>
                <w:sz w:val="14"/>
              </w:rPr>
            </w:pPr>
            <w:r>
              <w:rPr>
                <w:rFonts w:ascii="Times New Roman;serif" w:hAnsi="Times New Roman;serif"/>
                <w:b/>
                <w:color w:val="231F20"/>
                <w:sz w:val="14"/>
              </w:rPr>
              <w:t>304,224,024</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14"/>
              </w:rPr>
            </w:pPr>
            <w:r>
              <w:rPr>
                <w:rFonts w:ascii="Times New Roman;serif" w:hAnsi="Times New Roman;serif"/>
                <w:b/>
                <w:color w:val="231F20"/>
                <w:sz w:val="14"/>
              </w:rPr>
              <w:t>$</w:t>
            </w:r>
          </w:p>
        </w:tc>
        <w:tc>
          <w:tcPr>
            <w:tcW w:w="64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14"/>
              </w:rPr>
              <w:t>566,167</w:t>
            </w:r>
            <w:r>
              <w:rPr>
                <w:color w:val="231F20"/>
              </w:rPr>
              <w:t> </w:t>
            </w:r>
          </w:p>
        </w:tc>
        <w:tc>
          <w:tcPr>
            <w:tcW w:w="22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pPr>
      <w:r>
        <w:rPr>
          <w:rFonts w:ascii="Times New Roman;serif" w:hAnsi="Times New Roman;serif"/>
          <w:b w:val="false"/>
          <w:color w:val="231F20"/>
          <w:sz w:val="13"/>
        </w:rPr>
        <w:t xml:space="preserve">(1) </w:t>
      </w:r>
      <w:r>
        <w:rPr>
          <w:rFonts w:ascii="Times New Roman;serif" w:hAnsi="Times New Roman;serif"/>
          <w:b w:val="false"/>
          <w:color w:val="231F20"/>
          <w:sz w:val="20"/>
        </w:rPr>
        <w:t xml:space="preserve">Refer to note in the table above for information related to the prior period recast. </w:t>
      </w:r>
    </w:p>
    <w:p>
      <w:pPr>
        <w:pStyle w:val="TextBody"/>
        <w:bidi w:val="0"/>
        <w:spacing w:lineRule="auto" w:line="288" w:before="120" w:after="160"/>
        <w:ind w:left="0" w:right="0" w:hanging="360"/>
        <w:jc w:val="left"/>
        <w:rPr>
          <w:rFonts w:ascii="Times New Roman;serif" w:hAnsi="Times New Roman;serif"/>
          <w:b/>
          <w:i/>
          <w:color w:val="231F20"/>
          <w:sz w:val="20"/>
        </w:rPr>
      </w:pPr>
      <w:r>
        <w:rPr>
          <w:rFonts w:ascii="Times New Roman;serif" w:hAnsi="Times New Roman;serif"/>
          <w:b/>
          <w:i/>
          <w:color w:val="231F20"/>
          <w:sz w:val="20"/>
        </w:rPr>
        <w:t>Preferred Shares</w:t>
      </w:r>
    </w:p>
    <w:p>
      <w:pPr>
        <w:pStyle w:val="TextBody"/>
        <w:bidi w:val="0"/>
        <w:spacing w:lineRule="auto" w:line="288" w:before="120" w:after="18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We have an unlimited amount of authorized Xanadu Preferred Shares, with no par value. As of June 30, 2026 and December 31, 2025 there were no Xanadu Preferred Shares issued and outstanding. </w:t>
      </w:r>
    </w:p>
    <w:p>
      <w:pPr>
        <w:pStyle w:val="TextBody"/>
        <w:bidi w:val="0"/>
        <w:spacing w:lineRule="auto" w:line="288" w:before="120" w:after="160"/>
        <w:ind w:left="0" w:right="0" w:hanging="360"/>
        <w:jc w:val="both"/>
        <w:rPr>
          <w:rFonts w:ascii="Times New Roman;serif" w:hAnsi="Times New Roman;serif"/>
          <w:b/>
          <w:i/>
          <w:color w:val="231F20"/>
          <w:sz w:val="20"/>
        </w:rPr>
      </w:pPr>
      <w:r>
        <w:rPr>
          <w:rFonts w:ascii="Times New Roman;serif" w:hAnsi="Times New Roman;serif"/>
          <w:b/>
          <w:i/>
          <w:color w:val="231F20"/>
          <w:sz w:val="20"/>
        </w:rPr>
        <w:t xml:space="preserve">SATM Facility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May 20, 2026, the Company entered into a synthetic at-the-market equity facility with YA II PN, LTD. ("YA"), a Cayman Islands exempt limited company, through its investment manager, Yorkville Advisors Global, LP (“Yorkville Investor”), pursuant to a standby equity purchase agreement (the “Yorkville Agreement”), pursuant to which, the Yorkville Investor has committed to purchase up to 30 million Xanadu Class B Subordinate Voting Shares with an aggregate value of up to $300 million over 36 months ("SATM Facility") in private placements over a term of three years, subject to certain limitations and conditions in the Yorkville Agreement. The Company maintains sole discretion over the timing and amount of any share issuances and retains the right to terminate the SATM Facility at any time. There is no mandatory minimum amount for any advance and no non-usage fee for not utilizing the full commitment amount or any part thereof. Additionally, at mutual consent of both the Company and the Yorkville Investor, the Yorkville Investor may provide up to $100 million in capital through the issuance of promissory notes to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16840"/>
                <wp:effectExtent l="0" t="0" r="0" b="0"/>
                <wp:wrapNone/>
                <wp:docPr id="44" name="Frame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33</w:t>
                      </w:r>
                    </w:p>
                  </w:txbxContent>
                </v:textbox>
                <w10:wrap type="none"/>
              </v:rect>
            </w:pict>
          </mc:Fallback>
        </mc:AlternateContent>
      </w:r>
    </w:p>
    <w:p>
      <w:pPr>
        <w:pStyle w:val="TextBody"/>
        <w:bidi w:val="0"/>
        <w:spacing w:lineRule="auto" w:line="288" w:before="0" w:after="0"/>
        <w:ind w:left="0" w:right="0" w:hanging="117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pPr>
      <w:r>
        <w:rPr>
          <w:rFonts w:ascii="Times New Roman;serif" w:hAnsi="Times New Roman;serif"/>
          <w:b/>
          <w:color w:val="231F20"/>
          <w:sz w:val="20"/>
        </w:rPr>
        <w:t>XANADU</w:t>
      </w:r>
      <w:r>
        <w:rPr>
          <w:color w:val="231F20"/>
        </w:rPr>
        <w:t xml:space="preserve"> </w:t>
      </w:r>
      <w:r>
        <w:rPr>
          <w:rFonts w:ascii="Times New Roman;serif" w:hAnsi="Times New Roman;serif"/>
          <w:b/>
          <w:color w:val="231F20"/>
          <w:sz w:val="20"/>
        </w:rPr>
        <w:t>QUANTUM</w:t>
      </w:r>
      <w:r>
        <w:rPr>
          <w:color w:val="231F20"/>
        </w:rPr>
        <w:t xml:space="preserve"> </w:t>
      </w:r>
      <w:r>
        <w:rPr>
          <w:rFonts w:ascii="Times New Roman;serif" w:hAnsi="Times New Roman;serif"/>
          <w:b/>
          <w:color w:val="231F20"/>
          <w:sz w:val="20"/>
        </w:rPr>
        <w:t>TECHNOLOGIES LIMITED</w:t>
      </w:r>
    </w:p>
    <w:p>
      <w:pPr>
        <w:pStyle w:val="TextBody"/>
        <w:bidi w:val="0"/>
        <w:spacing w:lineRule="auto" w:line="288" w:before="0" w:after="0"/>
        <w:jc w:val="center"/>
        <w:rPr/>
      </w:pPr>
      <w:r>
        <w:rPr>
          <w:rFonts w:ascii="Times New Roman;serif" w:hAnsi="Times New Roman;serif"/>
          <w:b/>
          <w:color w:val="231F20"/>
          <w:sz w:val="20"/>
        </w:rPr>
        <w:t>Notes</w:t>
      </w:r>
      <w:r>
        <w:rPr>
          <w:color w:val="231F20"/>
        </w:rPr>
        <w:t xml:space="preserve"> </w:t>
      </w:r>
      <w:r>
        <w:rPr>
          <w:rFonts w:ascii="Times New Roman;serif" w:hAnsi="Times New Roman;serif"/>
          <w:b/>
          <w:color w:val="231F20"/>
          <w:sz w:val="20"/>
        </w:rPr>
        <w:t>to</w:t>
      </w:r>
      <w:r>
        <w:rPr>
          <w:color w:val="231F20"/>
        </w:rPr>
        <w:t xml:space="preserve"> </w:t>
      </w:r>
      <w:r>
        <w:rPr>
          <w:rFonts w:ascii="Times New Roman;serif" w:hAnsi="Times New Roman;serif"/>
          <w:b/>
          <w:color w:val="231F20"/>
          <w:sz w:val="20"/>
        </w:rPr>
        <w:t>the</w:t>
      </w:r>
      <w:r>
        <w:rPr>
          <w:color w:val="231F20"/>
        </w:rPr>
        <w:t xml:space="preserve"> </w:t>
      </w:r>
      <w:r>
        <w:rPr>
          <w:rFonts w:ascii="Times New Roman;serif" w:hAnsi="Times New Roman;serif"/>
          <w:b/>
          <w:color w:val="231F20"/>
          <w:sz w:val="20"/>
        </w:rPr>
        <w:t>Condensed</w:t>
      </w:r>
      <w:r>
        <w:rPr>
          <w:color w:val="231F20"/>
        </w:rPr>
        <w:t xml:space="preserve"> </w:t>
      </w:r>
      <w:r>
        <w:rPr>
          <w:rFonts w:ascii="Times New Roman;serif" w:hAnsi="Times New Roman;serif"/>
          <w:b/>
          <w:color w:val="231F20"/>
          <w:sz w:val="20"/>
        </w:rPr>
        <w:t>Consolidated</w:t>
      </w:r>
      <w:r>
        <w:rPr>
          <w:color w:val="231F20"/>
        </w:rPr>
        <w:t xml:space="preserve"> </w:t>
      </w:r>
      <w:r>
        <w:rPr>
          <w:rFonts w:ascii="Times New Roman;serif" w:hAnsi="Times New Roman;serif"/>
          <w:b/>
          <w:color w:val="231F20"/>
          <w:sz w:val="20"/>
        </w:rPr>
        <w:t>Financial</w:t>
      </w:r>
      <w:r>
        <w:rPr>
          <w:color w:val="231F20"/>
        </w:rPr>
        <w:t xml:space="preserve"> </w:t>
      </w:r>
      <w:r>
        <w:rPr>
          <w:rFonts w:ascii="Times New Roman;serif" w:hAnsi="Times New Roman;serif"/>
          <w:b/>
          <w:color w:val="231F20"/>
          <w:sz w:val="20"/>
        </w:rPr>
        <w:t xml:space="preserve">Statements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 except for share and per share amounts, ratios or as otherwise noted)</w:t>
      </w:r>
    </w:p>
    <w:p>
      <w:pPr>
        <w:pStyle w:val="TextBody"/>
        <w:bidi w:val="0"/>
        <w:spacing w:before="0" w:after="0"/>
        <w:jc w:val="center"/>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evaluated the SATM Facility that includes the right to require the Yorkville Investor to purchase Class B Subordinate Voting Shares in the future ("put option") in accordance with ASC 815, Derivatives and Hedging, and specifically ASC 815-40, Contracts on an Entity's Own Equity. The Company determined that the SATM Facility does not meet the derivative scope exception and therefore, is accounted for as a derivative. Specifically, the SATM Facility contains provisions that cause the settlement amounts that are not considered to be indexed to the Company's own shares. Since the SATM Facility meets the definition of a derivative under ASC 815, the Company recorded an initial derivative asset of $1,350 in May 2026 related to a put option of the SATM Facility, within prepaid expenses and other current assets on the condensed consolidated balance sheets. Upon settlement of share issuances under the SATM Facility, the derivative asset is drawn down on a proportionate basis of the share issuance as a loss on derivative instruments, net in the statement of operations and comprehensive income. As of June 30, 2026, the derivative asset had a balance of $1,104. Additionally, each time a put option is exercised, the Company recognizes a forward contract representing the Company's obligation and right to exchange Class B Subordinate Voting Shares for cash consideration. The forward contracts are measured at fair value each time the put option is exercised, and subsequently re-measured to fair value at each reporting date and upon settlement, with the change in fair value recognized on the consolidated statement of operations and comprehensive loss in loss on derivative instruments. The fair value is measured as the difference between the cash proceeds receivable from the forward contract and the market price of the shares on the measurement date. For the three and six months ended June 30, 2026, the Company recorded a net loss of $1,907 related to the put option and forward contracts under the SATM Facility, of which $1,661 relates to the forward contracts. As of June 30, 2026, there were no forward contracts under the SATM Facility that were outstanding.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received $67,154 from the Yorkville Investor in net cash proceeds, through the issuance of 5,467,524 Class B Subordinate Voting Shares under the SATM Facility. As of June 30, 2026, the Company had remaining share issuance capacity under the SATM Facility of up to 24,532,476 shares, or up to $232,846.</w:t>
      </w:r>
    </w:p>
    <w:p>
      <w:pPr>
        <w:pStyle w:val="TextBody"/>
        <w:bidi w:val="0"/>
        <w:spacing w:lineRule="auto" w:line="240" w:before="0" w:after="0"/>
        <w:ind w:left="0" w:right="0" w:hanging="1170"/>
        <w:jc w:val="both"/>
        <w:rPr>
          <w:rFonts w:ascii="Times New Roman;serif" w:hAnsi="Times New Roman;serif"/>
          <w:b/>
          <w:i/>
          <w:color w:val="231F20"/>
          <w:sz w:val="20"/>
        </w:rPr>
      </w:pPr>
      <w:r>
        <w:rPr>
          <w:rFonts w:ascii="Times New Roman;serif" w:hAnsi="Times New Roman;serif"/>
          <w:b/>
          <w:i/>
          <w:color w:val="231F20"/>
          <w:sz w:val="20"/>
        </w:rPr>
        <w:t>Warrants to Purchase Common Shares</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Closing on March 26, 2026, the SFTrust Warrants were exchanged for warrants to purchase Xanadu Class A Multiple Voting Shares and the RBC Warrants were exchanged for warrants to purchase Xanadu Class B Subordinate Voting Shares.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SFTrust Warrants were exchanged for 519,974 warrants to purchase Xanadu Class A Multiple Voting Shares and the RBC Warrants were exchanged for 157,960 warrants to purchase Xanadu Class B Subordinate Voting Shares, resulting in a total of 677,934 warrants exchanged in the transaction. </w:t>
      </w:r>
    </w:p>
    <w:p>
      <w:pPr>
        <w:pStyle w:val="TextBody"/>
        <w:bidi w:val="0"/>
        <w:spacing w:before="120" w:after="16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16840"/>
                <wp:effectExtent l="0" t="0" r="0" b="0"/>
                <wp:wrapNone/>
                <wp:docPr id="45" name="Frame4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34</w:t>
                      </w:r>
                    </w:p>
                  </w:txbxContent>
                </v:textbox>
                <w10:wrap type="none"/>
              </v:rect>
            </w:pict>
          </mc:Fallback>
        </mc:AlternateContent>
      </w:r>
    </w:p>
    <w:p>
      <w:pPr>
        <w:pStyle w:val="TextBody"/>
        <w:bidi w:val="0"/>
        <w:spacing w:lineRule="auto" w:line="288" w:before="0" w:after="0"/>
        <w:ind w:left="0" w:right="0" w:hanging="117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ind w:left="0" w:right="0" w:hanging="1170"/>
        <w:jc w:val="center"/>
        <w:rPr/>
      </w:pPr>
      <w:r>
        <w:rPr/>
      </w:r>
    </w:p>
    <w:p>
      <w:pPr>
        <w:pStyle w:val="TextBody"/>
        <w:bidi w:val="0"/>
        <w:spacing w:lineRule="auto" w:line="288" w:before="0" w:after="0"/>
        <w:ind w:left="0" w:right="0" w:hanging="1170"/>
        <w:jc w:val="center"/>
        <w:rPr/>
      </w:pPr>
      <w:r>
        <w:rPr>
          <w:rFonts w:ascii="Times New Roman;serif" w:hAnsi="Times New Roman;serif"/>
          <w:b/>
          <w:color w:val="231F20"/>
          <w:sz w:val="20"/>
        </w:rPr>
        <w:t>X</w:t>
      </w:r>
      <w:r>
        <w:rPr>
          <w:rFonts w:ascii="Times New Roman;serif" w:hAnsi="Times New Roman;serif"/>
          <w:b/>
          <w:color w:val="231F20"/>
          <w:sz w:val="16"/>
        </w:rPr>
        <w:t>ANADU</w:t>
      </w:r>
      <w:r>
        <w:rPr>
          <w:color w:val="231F20"/>
        </w:rPr>
        <w:t xml:space="preserve"> </w:t>
      </w:r>
      <w:r>
        <w:rPr>
          <w:rFonts w:ascii="Times New Roman;serif" w:hAnsi="Times New Roman;serif"/>
          <w:b/>
          <w:color w:val="231F20"/>
          <w:sz w:val="20"/>
        </w:rPr>
        <w:t>Q</w:t>
      </w:r>
      <w:r>
        <w:rPr>
          <w:rFonts w:ascii="Times New Roman;serif" w:hAnsi="Times New Roman;serif"/>
          <w:b/>
          <w:color w:val="231F20"/>
          <w:sz w:val="16"/>
        </w:rPr>
        <w:t>UANTUM</w:t>
      </w:r>
      <w:r>
        <w:rPr>
          <w:color w:val="231F20"/>
        </w:rPr>
        <w:t xml:space="preserve"> </w:t>
      </w:r>
      <w:r>
        <w:rPr>
          <w:rFonts w:ascii="Times New Roman;serif" w:hAnsi="Times New Roman;serif"/>
          <w:b/>
          <w:color w:val="231F20"/>
          <w:sz w:val="20"/>
        </w:rPr>
        <w:t>T</w:t>
      </w:r>
      <w:r>
        <w:rPr>
          <w:rFonts w:ascii="Times New Roman;serif" w:hAnsi="Times New Roman;serif"/>
          <w:b/>
          <w:color w:val="231F20"/>
          <w:sz w:val="16"/>
        </w:rPr>
        <w:t>ECHNOLOGIES LIMITED</w:t>
      </w:r>
    </w:p>
    <w:p>
      <w:pPr>
        <w:pStyle w:val="TextBody"/>
        <w:bidi w:val="0"/>
        <w:spacing w:lineRule="auto" w:line="288" w:before="0" w:after="0"/>
        <w:jc w:val="center"/>
        <w:rPr/>
      </w:pPr>
      <w:r>
        <w:rPr>
          <w:rFonts w:ascii="Times New Roman;serif" w:hAnsi="Times New Roman;serif"/>
          <w:b/>
          <w:color w:val="231F20"/>
          <w:sz w:val="20"/>
        </w:rPr>
        <w:t>Notes</w:t>
      </w:r>
      <w:r>
        <w:rPr>
          <w:color w:val="231F20"/>
        </w:rPr>
        <w:t xml:space="preserve"> </w:t>
      </w:r>
      <w:r>
        <w:rPr>
          <w:rFonts w:ascii="Times New Roman;serif" w:hAnsi="Times New Roman;serif"/>
          <w:b/>
          <w:color w:val="231F20"/>
          <w:sz w:val="20"/>
        </w:rPr>
        <w:t>to</w:t>
      </w:r>
      <w:r>
        <w:rPr>
          <w:color w:val="231F20"/>
        </w:rPr>
        <w:t xml:space="preserve"> </w:t>
      </w:r>
      <w:r>
        <w:rPr>
          <w:rFonts w:ascii="Times New Roman;serif" w:hAnsi="Times New Roman;serif"/>
          <w:b/>
          <w:color w:val="231F20"/>
          <w:sz w:val="20"/>
        </w:rPr>
        <w:t>the</w:t>
      </w:r>
      <w:r>
        <w:rPr>
          <w:color w:val="231F20"/>
        </w:rPr>
        <w:t xml:space="preserve"> </w:t>
      </w:r>
      <w:r>
        <w:rPr>
          <w:rFonts w:ascii="Times New Roman;serif" w:hAnsi="Times New Roman;serif"/>
          <w:b/>
          <w:color w:val="231F20"/>
          <w:sz w:val="20"/>
        </w:rPr>
        <w:t>Condensed</w:t>
      </w:r>
      <w:r>
        <w:rPr>
          <w:color w:val="231F20"/>
        </w:rPr>
        <w:t xml:space="preserve"> </w:t>
      </w:r>
      <w:r>
        <w:rPr>
          <w:rFonts w:ascii="Times New Roman;serif" w:hAnsi="Times New Roman;serif"/>
          <w:b/>
          <w:color w:val="231F20"/>
          <w:sz w:val="20"/>
        </w:rPr>
        <w:t>Consolidated</w:t>
      </w:r>
      <w:r>
        <w:rPr>
          <w:color w:val="231F20"/>
        </w:rPr>
        <w:t xml:space="preserve"> </w:t>
      </w:r>
      <w:r>
        <w:rPr>
          <w:rFonts w:ascii="Times New Roman;serif" w:hAnsi="Times New Roman;serif"/>
          <w:b/>
          <w:color w:val="231F20"/>
          <w:sz w:val="20"/>
        </w:rPr>
        <w:t>Financial</w:t>
      </w:r>
      <w:r>
        <w:rPr>
          <w:color w:val="231F20"/>
        </w:rPr>
        <w:t xml:space="preserve"> </w:t>
      </w:r>
      <w:r>
        <w:rPr>
          <w:rFonts w:ascii="Times New Roman;serif" w:hAnsi="Times New Roman;serif"/>
          <w:b/>
          <w:color w:val="231F20"/>
          <w:sz w:val="20"/>
        </w:rPr>
        <w:t xml:space="preserve">Statements </w:t>
      </w:r>
    </w:p>
    <w:p>
      <w:pPr>
        <w:pStyle w:val="TextBody"/>
        <w:bidi w:val="0"/>
        <w:spacing w:lineRule="auto" w:line="288" w:before="0" w:after="200"/>
        <w:jc w:val="center"/>
        <w:rPr>
          <w:rFonts w:ascii="Times New Roman;serif" w:hAnsi="Times New Roman;serif"/>
          <w:b/>
          <w:color w:val="231F20"/>
          <w:sz w:val="20"/>
        </w:rPr>
      </w:pPr>
      <w:r>
        <w:rPr>
          <w:rFonts w:ascii="Times New Roman;serif" w:hAnsi="Times New Roman;serif"/>
          <w:b/>
          <w:color w:val="231F20"/>
          <w:sz w:val="20"/>
        </w:rPr>
        <w:t>(In thousands, except for share and per share amounts, ratios or as otherwise noted)</w:t>
      </w:r>
    </w:p>
    <w:p>
      <w:pPr>
        <w:pStyle w:val="TextBody"/>
        <w:bidi w:val="0"/>
        <w:spacing w:lineRule="auto" w:line="288" w:before="0" w:after="160"/>
        <w:ind w:left="0" w:right="0" w:hanging="540"/>
        <w:jc w:val="left"/>
        <w:rPr/>
      </w:pPr>
      <w:r>
        <w:rPr>
          <w:rFonts w:ascii="Times New Roman;serif" w:hAnsi="Times New Roman;serif"/>
          <w:b/>
          <w:color w:val="231F20"/>
          <w:sz w:val="20"/>
        </w:rPr>
        <w:t>Note 14 - Stock-based</w:t>
      </w:r>
      <w:r>
        <w:rPr>
          <w:color w:val="231F20"/>
        </w:rPr>
        <w:t xml:space="preserve"> </w:t>
      </w:r>
      <w:r>
        <w:rPr>
          <w:rFonts w:ascii="Times New Roman;serif" w:hAnsi="Times New Roman;serif"/>
          <w:b/>
          <w:color w:val="231F20"/>
          <w:sz w:val="20"/>
        </w:rPr>
        <w:t>Compensation:</w:t>
      </w:r>
    </w:p>
    <w:p>
      <w:pPr>
        <w:pStyle w:val="TextBody"/>
        <w:bidi w:val="0"/>
        <w:spacing w:lineRule="auto" w:line="288" w:before="120" w:after="120"/>
        <w:jc w:val="both"/>
        <w:rPr>
          <w:rFonts w:ascii="Times New Roman;serif" w:hAnsi="Times New Roman;serif"/>
          <w:b/>
          <w:i/>
          <w:color w:val="231F20"/>
          <w:sz w:val="20"/>
        </w:rPr>
      </w:pPr>
      <w:r>
        <w:rPr>
          <w:rFonts w:ascii="Times New Roman;serif" w:hAnsi="Times New Roman;serif"/>
          <w:b/>
          <w:i/>
          <w:color w:val="231F20"/>
          <w:sz w:val="20"/>
        </w:rPr>
        <w:t>Old Xanadu Long Term Incentive Plan</w:t>
      </w:r>
    </w:p>
    <w:p>
      <w:pPr>
        <w:pStyle w:val="TextBody"/>
        <w:bidi w:val="0"/>
        <w:spacing w:lineRule="auto" w:line="288" w:before="120" w:after="12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Upon the Closing of the Reverse Recapitalization, each outstanding option to purchase Old Xanadu Voting Common Shares, under the Company's 2017 Equity Incentive Plan (the "2017 Plan") and the 2018 Equity Incentive Plan (the "2018 Plan"), was exchanged for a Xanadu Class A Multiple Voting Share Option, and each option to purchase Old Xanadu Non-Voting Common Shares was exchanged for a Xanadu Class B Subordinate Voting Share Option.</w:t>
      </w:r>
    </w:p>
    <w:p>
      <w:pPr>
        <w:pStyle w:val="TextBody"/>
        <w:bidi w:val="0"/>
        <w:spacing w:lineRule="auto" w:line="288" w:before="120" w:after="12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The number of Xanadu shares subject to each assumed option was determined by multiplying the number of Old Xanadu common shares subject to the original option by the Exchange Ratio (rounded down to the nearest whole share). The per-share exercise price was determined by dividing the prior exercise price by the Exchange Ratio and rounded pursuant to the Plan of Arrangement. All other terms and conditions, including vesting schedules and expiration terms, remain unchanged. As of the Closing, the strike price was converted from Canadian dollars to U.S. dollars to align with the trading of the Xanadu Class B Subordinate Voting Shares on the Nasdaq market.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Board of Directors of Old Xanadu authorized the grant of restricted shares and stock options for up to 1,393,773 non-voting common shares under the Company’s 2017 Plan and 5,749,323 non-voting common shares under the 2018 Plan. After giving effect to the Exchange Ratio, these authorizations represent 15,726,911 and 64,873,614 adjusted shares, respectively.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options granted to date under the 2017 Plan and 2018 Plan have a service condition with the following vesting terms: (a) 25% of the options granted vest on a date that is one year after the date the service period begins and (b) the remaining unvested options vest in equal monthly installments for an additional 36 months. </w:t>
      </w:r>
    </w:p>
    <w:p>
      <w:pPr>
        <w:pStyle w:val="TextBody"/>
        <w:bidi w:val="0"/>
        <w:spacing w:lineRule="auto" w:line="288" w:before="120" w:after="120"/>
        <w:ind w:left="0" w:right="0" w:firstLine="360"/>
        <w:jc w:val="both"/>
        <w:rPr/>
      </w:pPr>
      <w:r>
        <w:rPr>
          <w:rFonts w:ascii="Times New Roman;serif" w:hAnsi="Times New Roman;serif"/>
          <w:b w:val="false"/>
          <w:color w:val="000000"/>
          <w:sz w:val="20"/>
        </w:rPr>
        <w:t>Options generally expire 10 years from the or</w:t>
      </w:r>
      <w:r>
        <w:rPr>
          <w:rFonts w:ascii="Times New Roman;serif" w:hAnsi="Times New Roman;serif"/>
          <w:b w:val="false"/>
          <w:color w:val="231F20"/>
          <w:sz w:val="20"/>
        </w:rPr>
        <w:t>iginal</w:t>
      </w:r>
      <w:r>
        <w:rPr>
          <w:color w:val="231F20"/>
        </w:rPr>
        <w:t xml:space="preserve"> </w:t>
      </w:r>
      <w:r>
        <w:rPr>
          <w:rFonts w:ascii="Times New Roman;serif" w:hAnsi="Times New Roman;serif"/>
          <w:b w:val="false"/>
          <w:color w:val="231F20"/>
          <w:sz w:val="20"/>
        </w:rPr>
        <w:t>grant</w:t>
      </w:r>
      <w:r>
        <w:rPr>
          <w:color w:val="231F20"/>
        </w:rPr>
        <w:t xml:space="preserve"> </w:t>
      </w:r>
      <w:r>
        <w:rPr>
          <w:rFonts w:ascii="Times New Roman;serif" w:hAnsi="Times New Roman;serif"/>
          <w:b w:val="false"/>
          <w:color w:val="231F20"/>
          <w:sz w:val="20"/>
        </w:rPr>
        <w:t>date</w:t>
      </w:r>
      <w:r>
        <w:rPr>
          <w:color w:val="231F20"/>
        </w:rPr>
        <w:t xml:space="preserve"> </w:t>
      </w:r>
      <w:r>
        <w:rPr>
          <w:rFonts w:ascii="Times New Roman;serif" w:hAnsi="Times New Roman;serif"/>
          <w:b w:val="false"/>
          <w:color w:val="231F20"/>
          <w:sz w:val="20"/>
        </w:rPr>
        <w:t>or</w:t>
      </w:r>
      <w:r>
        <w:rPr>
          <w:color w:val="231F20"/>
        </w:rPr>
        <w:t xml:space="preserve"> </w:t>
      </w:r>
      <w:r>
        <w:rPr>
          <w:rFonts w:ascii="Times New Roman;serif" w:hAnsi="Times New Roman;serif"/>
          <w:b w:val="false"/>
          <w:color w:val="231F20"/>
          <w:sz w:val="20"/>
        </w:rPr>
        <w:t>90 days</w:t>
      </w:r>
      <w:r>
        <w:rPr>
          <w:color w:val="231F20"/>
        </w:rPr>
        <w:t xml:space="preserve"> </w:t>
      </w:r>
      <w:r>
        <w:rPr>
          <w:rFonts w:ascii="Times New Roman;serif" w:hAnsi="Times New Roman;serif"/>
          <w:b w:val="false"/>
          <w:color w:val="231F20"/>
          <w:sz w:val="20"/>
        </w:rPr>
        <w:t xml:space="preserve">from an employee’s termination date. However, the Company has granted expiration extensions to certain terminated employees to June 30, 2026 and in one instance, to November 27, 2026.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With the Closing of the Reverse Recapitalization on March 26, 2026, no new equity awards will be granted under the 2017 Plan and the 2018 Plan. In connection with the Reverse Recapitalization, new grants are issued under the Omnibus Long Term Incentive Plan described below.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Omnibus Long Term Incentive Plan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Board of Directors adopted the Xanadu Omnibus Long Term Incentive Plan (the "Omnibus Plan") in connection with the Closing of the Reverse Recapitalization. The Omnibus Plan reserves an amount of Xanadu shares for grant equal to 15% of the Xanadu shares issued and outstanding from time to time. The Company's equity awards corresponding to Old Xanadu equity awards do not reduce the number of shares available for issuance under the Omnibus Plan. The Omnibus Plan permits the grant of several award types, including: </w:t>
      </w:r>
    </w:p>
    <w:p>
      <w:pPr>
        <w:pStyle w:val="TextBody"/>
        <w:bidi w:val="0"/>
        <w:spacing w:lineRule="auto" w:line="240" w:before="170" w:after="283"/>
        <w:ind w:left="0" w:right="0" w:hanging="360"/>
        <w:jc w:val="both"/>
        <w:rPr/>
      </w:pPr>
      <w:r>
        <w:rPr>
          <w:color w:val="000000"/>
        </w:rPr>
        <w:t>•</w:t>
      </w:r>
      <w:r>
        <w:rPr>
          <w:rFonts w:ascii="Times New Roman;serif" w:hAnsi="Times New Roman;serif"/>
          <w:b w:val="false"/>
          <w:color w:val="000000"/>
          <w:sz w:val="20"/>
        </w:rPr>
        <w:t xml:space="preserve">Stock Options (Incentive Stock Options and Non-Qualified Stock Options). </w:t>
      </w:r>
    </w:p>
    <w:p>
      <w:pPr>
        <w:pStyle w:val="TextBody"/>
        <w:bidi w:val="0"/>
        <w:spacing w:lineRule="auto" w:line="240" w:before="170" w:after="283"/>
        <w:ind w:left="0" w:right="0" w:hanging="360"/>
        <w:jc w:val="both"/>
        <w:rPr/>
      </w:pPr>
      <w:r>
        <w:rPr>
          <w:color w:val="000000"/>
        </w:rPr>
        <w:t>•</w:t>
      </w:r>
      <w:r>
        <w:rPr>
          <w:rFonts w:ascii="Times New Roman;serif" w:hAnsi="Times New Roman;serif"/>
          <w:b w:val="false"/>
          <w:color w:val="000000"/>
          <w:sz w:val="20"/>
        </w:rPr>
        <w:t xml:space="preserve">Share Appreciation Rights (SARs), </w:t>
      </w:r>
    </w:p>
    <w:p>
      <w:pPr>
        <w:pStyle w:val="TextBody"/>
        <w:bidi w:val="0"/>
        <w:spacing w:lineRule="auto" w:line="240" w:before="170" w:after="283"/>
        <w:ind w:left="0" w:right="0" w:hanging="360"/>
        <w:jc w:val="both"/>
        <w:rPr/>
      </w:pPr>
      <w:r>
        <w:rPr>
          <w:color w:val="000000"/>
        </w:rPr>
        <w:t>•</w:t>
      </w:r>
      <w:r>
        <w:rPr>
          <w:rFonts w:ascii="Times New Roman;serif" w:hAnsi="Times New Roman;serif"/>
          <w:b w:val="false"/>
          <w:color w:val="000000"/>
          <w:sz w:val="20"/>
        </w:rPr>
        <w:t>Restricted Share Units (RSUs) and Performance Share Units (PSUs) and;</w:t>
      </w:r>
    </w:p>
    <w:p>
      <w:pPr>
        <w:pStyle w:val="TextBody"/>
        <w:bidi w:val="0"/>
        <w:spacing w:lineRule="auto" w:line="240" w:before="170" w:after="283"/>
        <w:ind w:left="0" w:right="0" w:hanging="360"/>
        <w:jc w:val="both"/>
        <w:rPr/>
      </w:pPr>
      <w:r>
        <w:rPr>
          <w:color w:val="000000"/>
        </w:rPr>
        <w:t>•</w:t>
      </w:r>
      <w:r>
        <w:rPr>
          <w:rFonts w:ascii="Times New Roman;serif" w:hAnsi="Times New Roman;serif"/>
          <w:b w:val="false"/>
          <w:color w:val="000000"/>
          <w:sz w:val="20"/>
        </w:rPr>
        <w:t xml:space="preserve">Deferred Share Units (DSUs). </w:t>
      </w:r>
    </w:p>
    <w:p>
      <w:pPr>
        <w:pStyle w:val="TextBody"/>
        <w:bidi w:val="0"/>
        <w:spacing w:lineRule="auto" w:line="240" w:before="170" w:after="283"/>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Refer to the Restricted Share Units table below for awards granted under the Omnibus Plan for the three and six months ended June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16840"/>
                <wp:effectExtent l="0" t="0" r="0" b="0"/>
                <wp:wrapNone/>
                <wp:docPr id="46" name="Frame4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35</w:t>
                      </w:r>
                    </w:p>
                  </w:txbxContent>
                </v:textbox>
                <w10:wrap type="none"/>
              </v:rect>
            </w:pict>
          </mc:Fallback>
        </mc:AlternateContent>
      </w:r>
    </w:p>
    <w:p>
      <w:pPr>
        <w:pStyle w:val="TextBody"/>
        <w:bidi w:val="0"/>
        <w:spacing w:lineRule="auto" w:line="288" w:before="0" w:after="0"/>
        <w:ind w:left="0" w:right="0" w:hanging="117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pPr>
      <w:r>
        <w:rPr>
          <w:rFonts w:ascii="Times New Roman;serif" w:hAnsi="Times New Roman;serif"/>
          <w:b/>
          <w:color w:val="231F20"/>
          <w:sz w:val="20"/>
        </w:rPr>
        <w:t>XANADU</w:t>
      </w:r>
      <w:r>
        <w:rPr>
          <w:color w:val="231F20"/>
        </w:rPr>
        <w:t xml:space="preserve"> </w:t>
      </w:r>
      <w:r>
        <w:rPr>
          <w:rFonts w:ascii="Times New Roman;serif" w:hAnsi="Times New Roman;serif"/>
          <w:b/>
          <w:color w:val="231F20"/>
          <w:sz w:val="20"/>
        </w:rPr>
        <w:t>QUANTUM</w:t>
      </w:r>
      <w:r>
        <w:rPr>
          <w:color w:val="231F20"/>
        </w:rPr>
        <w:t xml:space="preserve"> </w:t>
      </w:r>
      <w:r>
        <w:rPr>
          <w:rFonts w:ascii="Times New Roman;serif" w:hAnsi="Times New Roman;serif"/>
          <w:b/>
          <w:color w:val="231F20"/>
          <w:sz w:val="20"/>
        </w:rPr>
        <w:t>TECHNOLOGIES LIMITED</w:t>
      </w:r>
    </w:p>
    <w:p>
      <w:pPr>
        <w:pStyle w:val="TextBody"/>
        <w:bidi w:val="0"/>
        <w:spacing w:lineRule="auto" w:line="288" w:before="0" w:after="0"/>
        <w:jc w:val="center"/>
        <w:rPr/>
      </w:pPr>
      <w:r>
        <w:rPr>
          <w:rFonts w:ascii="Times New Roman;serif" w:hAnsi="Times New Roman;serif"/>
          <w:b/>
          <w:color w:val="231F20"/>
          <w:sz w:val="20"/>
        </w:rPr>
        <w:t>Notes</w:t>
      </w:r>
      <w:r>
        <w:rPr>
          <w:color w:val="231F20"/>
        </w:rPr>
        <w:t xml:space="preserve"> </w:t>
      </w:r>
      <w:r>
        <w:rPr>
          <w:rFonts w:ascii="Times New Roman;serif" w:hAnsi="Times New Roman;serif"/>
          <w:b/>
          <w:color w:val="231F20"/>
          <w:sz w:val="20"/>
        </w:rPr>
        <w:t>to</w:t>
      </w:r>
      <w:r>
        <w:rPr>
          <w:color w:val="231F20"/>
        </w:rPr>
        <w:t xml:space="preserve"> </w:t>
      </w:r>
      <w:r>
        <w:rPr>
          <w:rFonts w:ascii="Times New Roman;serif" w:hAnsi="Times New Roman;serif"/>
          <w:b/>
          <w:color w:val="231F20"/>
          <w:sz w:val="20"/>
        </w:rPr>
        <w:t>the</w:t>
      </w:r>
      <w:r>
        <w:rPr>
          <w:color w:val="231F20"/>
        </w:rPr>
        <w:t xml:space="preserve"> </w:t>
      </w:r>
      <w:r>
        <w:rPr>
          <w:rFonts w:ascii="Times New Roman;serif" w:hAnsi="Times New Roman;serif"/>
          <w:b/>
          <w:color w:val="231F20"/>
          <w:sz w:val="20"/>
        </w:rPr>
        <w:t>Condensed</w:t>
      </w:r>
      <w:r>
        <w:rPr>
          <w:color w:val="231F20"/>
        </w:rPr>
        <w:t xml:space="preserve"> </w:t>
      </w:r>
      <w:r>
        <w:rPr>
          <w:rFonts w:ascii="Times New Roman;serif" w:hAnsi="Times New Roman;serif"/>
          <w:b/>
          <w:color w:val="231F20"/>
          <w:sz w:val="20"/>
        </w:rPr>
        <w:t>Consolidated</w:t>
      </w:r>
      <w:r>
        <w:rPr>
          <w:color w:val="231F20"/>
        </w:rPr>
        <w:t xml:space="preserve"> </w:t>
      </w:r>
      <w:r>
        <w:rPr>
          <w:rFonts w:ascii="Times New Roman;serif" w:hAnsi="Times New Roman;serif"/>
          <w:b/>
          <w:color w:val="231F20"/>
          <w:sz w:val="20"/>
        </w:rPr>
        <w:t>Financial</w:t>
      </w:r>
      <w:r>
        <w:rPr>
          <w:color w:val="231F20"/>
        </w:rPr>
        <w:t xml:space="preserve"> </w:t>
      </w:r>
      <w:r>
        <w:rPr>
          <w:rFonts w:ascii="Times New Roman;serif" w:hAnsi="Times New Roman;serif"/>
          <w:b/>
          <w:color w:val="231F20"/>
          <w:sz w:val="20"/>
        </w:rPr>
        <w:t xml:space="preserve">Statements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 except for share and per share amounts, ratios or as otherwise noted)</w:t>
      </w:r>
    </w:p>
    <w:p>
      <w:pPr>
        <w:pStyle w:val="TextBody"/>
        <w:bidi w:val="0"/>
        <w:spacing w:before="0" w:after="0"/>
        <w:jc w:val="center"/>
        <w:rPr/>
      </w:pPr>
      <w:r>
        <w:rPr/>
      </w:r>
    </w:p>
    <w:p>
      <w:pPr>
        <w:pStyle w:val="TextBody"/>
        <w:bidi w:val="0"/>
        <w:spacing w:lineRule="auto" w:line="288" w:before="120" w:after="120"/>
        <w:jc w:val="both"/>
        <w:rPr>
          <w:rFonts w:ascii="Times New Roman;serif" w:hAnsi="Times New Roman;serif"/>
          <w:b/>
          <w:i/>
          <w:color w:val="231F20"/>
          <w:sz w:val="20"/>
        </w:rPr>
      </w:pPr>
      <w:r>
        <w:rPr>
          <w:rFonts w:ascii="Times New Roman;serif" w:hAnsi="Times New Roman;serif"/>
          <w:b/>
          <w:i/>
          <w:color w:val="231F20"/>
          <w:sz w:val="20"/>
        </w:rPr>
        <w:t>Stock Options</w:t>
      </w:r>
    </w:p>
    <w:p>
      <w:pPr>
        <w:pStyle w:val="TextBody"/>
        <w:bidi w:val="0"/>
        <w:spacing w:lineRule="auto" w:line="288" w:before="120" w:after="120"/>
        <w:ind w:left="0" w:right="0" w:firstLine="360"/>
        <w:jc w:val="both"/>
        <w:rPr/>
      </w:pPr>
      <w:r>
        <w:rPr>
          <w:rFonts w:ascii="Times New Roman;serif" w:hAnsi="Times New Roman;serif"/>
          <w:b w:val="false"/>
          <w:color w:val="231F20"/>
          <w:sz w:val="20"/>
        </w:rPr>
        <w:t>The following is a summary of the Company’s stock options activity (as adjusted for the Exchange Ratio established in the Reverse Recapitalization) during the six months ended June 30, 2026</w:t>
      </w:r>
      <w:r>
        <w:rPr>
          <w:rFonts w:ascii="Times New Roman;serif" w:hAnsi="Times New Roman;serif"/>
          <w:b w:val="false"/>
          <w:color w:val="231F20"/>
          <w:sz w:val="13"/>
        </w:rPr>
        <w:t>)</w:t>
      </w:r>
      <w:r>
        <w:rPr>
          <w:rFonts w:ascii="Times New Roman;serif" w:hAnsi="Times New Roman;serif"/>
          <w:b w:val="false"/>
          <w:color w:val="231F20"/>
          <w:sz w:val="20"/>
        </w:rPr>
        <w:t xml:space="preserve">: </w:t>
      </w:r>
    </w:p>
    <w:p>
      <w:pPr>
        <w:pStyle w:val="TextBody"/>
        <w:bidi w:val="0"/>
        <w:spacing w:before="170" w:after="283"/>
        <w:jc w:val="both"/>
        <w:rPr/>
      </w:pPr>
      <w:r>
        <w:rPr/>
      </w:r>
    </w:p>
    <w:tbl>
      <w:tblPr>
        <w:tblW w:w="8112" w:type="dxa"/>
        <w:jc w:val="left"/>
        <w:tblInd w:w="0" w:type="dxa"/>
        <w:tblLayout w:type="fixed"/>
        <w:tblCellMar>
          <w:top w:w="28" w:type="dxa"/>
          <w:left w:w="28" w:type="dxa"/>
          <w:bottom w:w="28" w:type="dxa"/>
          <w:right w:w="28" w:type="dxa"/>
        </w:tblCellMar>
      </w:tblPr>
      <w:tblGrid>
        <w:gridCol w:w="1021"/>
        <w:gridCol w:w="896"/>
        <w:gridCol w:w="902"/>
        <w:gridCol w:w="344"/>
        <w:gridCol w:w="344"/>
        <w:gridCol w:w="348"/>
        <w:gridCol w:w="109"/>
        <w:gridCol w:w="109"/>
        <w:gridCol w:w="109"/>
        <w:gridCol w:w="281"/>
        <w:gridCol w:w="682"/>
        <w:gridCol w:w="146"/>
        <w:gridCol w:w="109"/>
        <w:gridCol w:w="109"/>
        <w:gridCol w:w="109"/>
        <w:gridCol w:w="325"/>
        <w:gridCol w:w="325"/>
        <w:gridCol w:w="326"/>
        <w:gridCol w:w="109"/>
        <w:gridCol w:w="109"/>
        <w:gridCol w:w="109"/>
        <w:gridCol w:w="211"/>
        <w:gridCol w:w="826"/>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 xml:space="preserve">Number of </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Weighted</w:t>
              <w:br/>
              <w:t>average</w:t>
              <w:br/>
              <w:t>exercise price</w:t>
              <w:br/>
              <w:t>(USD)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Weighted</w:t>
              <w:br/>
              <w:t>average</w:t>
              <w:br/>
              <w:t>remaining</w:t>
              <w:br/>
              <w:t>contractual</w:t>
              <w:br/>
              <w:t>term</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8"/>
              </w:rPr>
            </w:pPr>
            <w:r>
              <w:rPr>
                <w:rFonts w:ascii="Times New Roman;serif" w:hAnsi="Times New Roman;serif"/>
                <w:b/>
                <w:color w:val="231F20"/>
                <w:sz w:val="18"/>
              </w:rPr>
              <w:t>Aggregate</w:t>
              <w:br/>
              <w:t>intrinsic</w:t>
              <w:br/>
              <w:t>value</w:t>
              <w:br/>
              <w:t>(USD)</w:t>
            </w:r>
          </w:p>
        </w:tc>
      </w:tr>
      <w:tr>
        <w:trPr/>
        <w:tc>
          <w:tcPr>
            <w:tcW w:w="281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Balance as of December 31, 2025</w:t>
            </w:r>
          </w:p>
        </w:tc>
        <w:tc>
          <w:tcPr>
            <w:tcW w:w="1036" w:type="dxa"/>
            <w:gridSpan w:val="3"/>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49,486,556</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82"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1.19 </w:t>
            </w:r>
          </w:p>
        </w:tc>
        <w:tc>
          <w:tcPr>
            <w:tcW w:w="146"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6.65</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290,074 </w:t>
            </w:r>
          </w:p>
        </w:tc>
        <w:tc>
          <w:tcPr>
            <w:tcW w:w="154"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Granted</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Exercised</w:t>
            </w:r>
          </w:p>
        </w:tc>
        <w:tc>
          <w:tcPr>
            <w:tcW w:w="103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2,065,434</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0.67 </w:t>
            </w:r>
          </w:p>
        </w:tc>
        <w:tc>
          <w:tcPr>
            <w:tcW w:w="14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val="false"/>
                <w:color w:val="231F20"/>
                <w:sz w:val="20"/>
              </w:rPr>
            </w:pPr>
            <w:r>
              <w:rPr>
                <w:rFonts w:ascii="Times New Roman;serif" w:hAnsi="Times New Roman;serif"/>
                <w:b w:val="false"/>
                <w:color w:val="231F20"/>
                <w:sz w:val="20"/>
              </w:rPr>
              <w:t>Expired and forfeited</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454,619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D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val="false"/>
                <w:color w:val="231F20"/>
                <w:sz w:val="20"/>
              </w:rPr>
            </w:pPr>
            <w:r>
              <w:rPr>
                <w:rFonts w:ascii="Times New Roman;serif" w:hAnsi="Times New Roman;serif"/>
                <w:b w:val="false"/>
                <w:color w:val="231F20"/>
                <w:sz w:val="20"/>
              </w:rPr>
              <w:t>Balance as of June 30, 2026</w:t>
            </w:r>
          </w:p>
        </w:tc>
        <w:tc>
          <w:tcPr>
            <w:tcW w:w="1036" w:type="dxa"/>
            <w:gridSpan w:val="3"/>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46,966,503</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82"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1.21 </w:t>
            </w:r>
          </w:p>
        </w:tc>
        <w:tc>
          <w:tcPr>
            <w:tcW w:w="146"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7.01</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511,916 </w:t>
            </w:r>
          </w:p>
        </w:tc>
        <w:tc>
          <w:tcPr>
            <w:tcW w:w="154"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val="false"/>
                <w:color w:val="231F20"/>
                <w:sz w:val="20"/>
              </w:rPr>
            </w:pPr>
            <w:r>
              <w:rPr>
                <w:rFonts w:ascii="Times New Roman;serif" w:hAnsi="Times New Roman;serif"/>
                <w:b w:val="false"/>
                <w:color w:val="231F20"/>
                <w:sz w:val="20"/>
              </w:rPr>
              <w:t>Exercisable as of June 30, 2026</w:t>
            </w:r>
          </w:p>
        </w:tc>
        <w:tc>
          <w:tcPr>
            <w:tcW w:w="103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32,745,059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8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0.72 </w:t>
            </w:r>
          </w:p>
        </w:tc>
        <w:tc>
          <w:tcPr>
            <w:tcW w:w="14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373,068 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D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val="false"/>
                <w:color w:val="231F20"/>
                <w:sz w:val="20"/>
              </w:rPr>
            </w:pPr>
            <w:r>
              <w:rPr>
                <w:rFonts w:ascii="Times New Roman;serif" w:hAnsi="Times New Roman;serif"/>
                <w:b w:val="false"/>
                <w:color w:val="231F20"/>
                <w:sz w:val="20"/>
              </w:rPr>
              <w:t>Unvested as of June 30, 2026</w:t>
            </w:r>
          </w:p>
        </w:tc>
        <w:tc>
          <w:tcPr>
            <w:tcW w:w="1036" w:type="dxa"/>
            <w:gridSpan w:val="3"/>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14,221,444</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82"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2.35 </w:t>
            </w:r>
          </w:p>
        </w:tc>
        <w:tc>
          <w:tcPr>
            <w:tcW w:w="146"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5.29</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138,848 </w:t>
            </w:r>
          </w:p>
        </w:tc>
        <w:tc>
          <w:tcPr>
            <w:tcW w:w="154"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pPr>
      <w:r>
        <w:rPr>
          <w:rFonts w:ascii="Times New Roman;serif" w:hAnsi="Times New Roman;serif"/>
          <w:b w:val="false"/>
          <w:color w:val="231F20"/>
          <w:sz w:val="20"/>
        </w:rPr>
        <w:t xml:space="preserve">As of June 30, 2026 there were </w:t>
      </w:r>
      <w:r>
        <w:rPr>
          <w:rFonts w:ascii="Times New Roman;serif" w:hAnsi="Times New Roman;serif"/>
          <w:b w:val="false"/>
          <w:color w:val="000000"/>
          <w:sz w:val="20"/>
        </w:rPr>
        <w:t xml:space="preserve">3,261,109 options to purchase Xanadu Class A Multiple Voting Shares and 43,705,394 options to purchase Xanadu Class B Subordinate Voting shares issued and outstanding. </w:t>
      </w:r>
      <w:r>
        <w:rPr>
          <w:rFonts w:ascii="Times New Roman;serif" w:hAnsi="Times New Roman;serif"/>
          <w:b w:val="false"/>
          <w:color w:val="231F20"/>
          <w:sz w:val="20"/>
        </w:rPr>
        <w:t>There were no options granted during the three and six months ended June 30, 2026 and 2025.</w:t>
      </w:r>
    </w:p>
    <w:p>
      <w:pPr>
        <w:pStyle w:val="TextBody"/>
        <w:bidi w:val="0"/>
        <w:spacing w:lineRule="auto" w:line="288" w:before="120" w:after="120"/>
        <w:ind w:left="0" w:right="0" w:firstLine="360"/>
        <w:jc w:val="both"/>
        <w:rPr/>
      </w:pP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six months ended June 30, 2026 and 2025,</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total</w:t>
      </w:r>
      <w:r>
        <w:rPr>
          <w:color w:val="231F20"/>
        </w:rPr>
        <w:t xml:space="preserve"> </w:t>
      </w:r>
      <w:r>
        <w:rPr>
          <w:rFonts w:ascii="Times New Roman;serif" w:hAnsi="Times New Roman;serif"/>
          <w:b w:val="false"/>
          <w:color w:val="231F20"/>
          <w:sz w:val="20"/>
        </w:rPr>
        <w:t>intrinsic</w:t>
      </w:r>
      <w:r>
        <w:rPr>
          <w:color w:val="231F20"/>
        </w:rPr>
        <w:t xml:space="preserve"> </w:t>
      </w:r>
      <w:r>
        <w:rPr>
          <w:rFonts w:ascii="Times New Roman;serif" w:hAnsi="Times New Roman;serif"/>
          <w:b w:val="false"/>
          <w:color w:val="231F20"/>
          <w:sz w:val="20"/>
        </w:rPr>
        <w:t>value</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stock</w:t>
      </w:r>
      <w:r>
        <w:rPr>
          <w:color w:val="231F20"/>
        </w:rPr>
        <w:t xml:space="preserve"> </w:t>
      </w:r>
      <w:r>
        <w:rPr>
          <w:rFonts w:ascii="Times New Roman;serif" w:hAnsi="Times New Roman;serif"/>
          <w:b w:val="false"/>
          <w:color w:val="231F20"/>
          <w:sz w:val="20"/>
        </w:rPr>
        <w:t>options</w:t>
      </w:r>
      <w:r>
        <w:rPr>
          <w:color w:val="231F20"/>
        </w:rPr>
        <w:t xml:space="preserve"> </w:t>
      </w:r>
      <w:r>
        <w:rPr>
          <w:rFonts w:ascii="Times New Roman;serif" w:hAnsi="Times New Roman;serif"/>
          <w:b w:val="false"/>
          <w:color w:val="231F20"/>
          <w:sz w:val="20"/>
        </w:rPr>
        <w:t>exercised</w:t>
      </w:r>
      <w:r>
        <w:rPr>
          <w:color w:val="231F20"/>
        </w:rPr>
        <w:t xml:space="preserve"> </w:t>
      </w:r>
      <w:r>
        <w:rPr>
          <w:rFonts w:ascii="Times New Roman;serif" w:hAnsi="Times New Roman;serif"/>
          <w:b w:val="false"/>
          <w:color w:val="231F20"/>
          <w:sz w:val="20"/>
        </w:rPr>
        <w:t>was C$23,626 and C$307, respectively.</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Restricted Share Units ("RSUs")</w:t>
      </w:r>
    </w:p>
    <w:p>
      <w:pPr>
        <w:pStyle w:val="TextBody"/>
        <w:bidi w:val="0"/>
        <w:spacing w:lineRule="auto" w:line="240" w:before="170" w:after="283"/>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following is a summary of the Company’s RSU activity during the six months ended June 30, 2026:</w:t>
      </w:r>
    </w:p>
    <w:tbl>
      <w:tblPr>
        <w:tblW w:w="6700" w:type="dxa"/>
        <w:jc w:val="left"/>
        <w:tblInd w:w="0" w:type="dxa"/>
        <w:tblLayout w:type="fixed"/>
        <w:tblCellMar>
          <w:top w:w="28" w:type="dxa"/>
          <w:left w:w="28" w:type="dxa"/>
          <w:bottom w:w="28" w:type="dxa"/>
          <w:right w:w="28" w:type="dxa"/>
        </w:tblCellMar>
      </w:tblPr>
      <w:tblGrid>
        <w:gridCol w:w="1021"/>
        <w:gridCol w:w="896"/>
        <w:gridCol w:w="902"/>
        <w:gridCol w:w="494"/>
        <w:gridCol w:w="494"/>
        <w:gridCol w:w="496"/>
        <w:gridCol w:w="109"/>
        <w:gridCol w:w="109"/>
        <w:gridCol w:w="109"/>
        <w:gridCol w:w="445"/>
        <w:gridCol w:w="1300"/>
        <w:gridCol w:w="325"/>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Number of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Weighted Average Grant</w:t>
              <w:br/>
              <w:t>Date Fair Value (USD)</w:t>
            </w:r>
          </w:p>
        </w:tc>
      </w:tr>
      <w:tr>
        <w:trPr/>
        <w:tc>
          <w:tcPr>
            <w:tcW w:w="281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Balance as of December 31, 2025</w:t>
            </w:r>
          </w:p>
        </w:tc>
        <w:tc>
          <w:tcPr>
            <w:tcW w:w="1484" w:type="dxa"/>
            <w:gridSpan w:val="3"/>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300"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325"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Granted</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3,017,276 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14.28 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D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val="false"/>
                <w:color w:val="231F20"/>
                <w:sz w:val="20"/>
              </w:rPr>
            </w:pPr>
            <w:r>
              <w:rPr>
                <w:rFonts w:ascii="Times New Roman;serif" w:hAnsi="Times New Roman;serif"/>
                <w:b w:val="false"/>
                <w:color w:val="231F20"/>
                <w:sz w:val="20"/>
              </w:rPr>
              <w:t>Expired and forfeited</w:t>
            </w:r>
          </w:p>
        </w:tc>
        <w:tc>
          <w:tcPr>
            <w:tcW w:w="148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6,976</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12.52 </w:t>
            </w:r>
          </w:p>
        </w:tc>
        <w:tc>
          <w:tcPr>
            <w:tcW w:w="32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val="false"/>
                <w:color w:val="231F20"/>
                <w:sz w:val="20"/>
              </w:rPr>
            </w:pPr>
            <w:r>
              <w:rPr>
                <w:rFonts w:ascii="Times New Roman;serif" w:hAnsi="Times New Roman;serif"/>
                <w:b w:val="false"/>
                <w:color w:val="231F20"/>
                <w:sz w:val="20"/>
              </w:rPr>
              <w:t>Balance as of June 30, 2026</w:t>
            </w:r>
          </w:p>
        </w:tc>
        <w:tc>
          <w:tcPr>
            <w:tcW w:w="148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3,010,300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30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14.29 </w:t>
            </w:r>
          </w:p>
        </w:tc>
        <w:tc>
          <w:tcPr>
            <w:tcW w:w="32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D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val="false"/>
                <w:color w:val="231F20"/>
                <w:sz w:val="20"/>
              </w:rPr>
            </w:pPr>
            <w:r>
              <w:rPr>
                <w:rFonts w:ascii="Times New Roman;serif" w:hAnsi="Times New Roman;serif"/>
                <w:b w:val="false"/>
                <w:color w:val="231F20"/>
                <w:sz w:val="20"/>
              </w:rPr>
              <w:t>Vested as of June 30, 2026</w:t>
            </w:r>
          </w:p>
        </w:tc>
        <w:tc>
          <w:tcPr>
            <w:tcW w:w="1484" w:type="dxa"/>
            <w:gridSpan w:val="3"/>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55,896</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300"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16.93 </w:t>
            </w:r>
          </w:p>
        </w:tc>
        <w:tc>
          <w:tcPr>
            <w:tcW w:w="325"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val="false"/>
                <w:color w:val="231F20"/>
                <w:sz w:val="20"/>
              </w:rPr>
            </w:pPr>
            <w:r>
              <w:rPr>
                <w:rFonts w:ascii="Times New Roman;serif" w:hAnsi="Times New Roman;serif"/>
                <w:b w:val="false"/>
                <w:color w:val="231F20"/>
                <w:sz w:val="20"/>
              </w:rPr>
              <w:t>Unvested as of June 30, 2026</w:t>
            </w:r>
          </w:p>
        </w:tc>
        <w:tc>
          <w:tcPr>
            <w:tcW w:w="1484"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2,954,404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30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14.24 </w:t>
            </w:r>
          </w:p>
        </w:tc>
        <w:tc>
          <w:tcPr>
            <w:tcW w:w="32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16840"/>
                <wp:effectExtent l="0" t="0" r="0" b="0"/>
                <wp:wrapNone/>
                <wp:docPr id="47" name="Frame4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36</w:t>
                      </w:r>
                    </w:p>
                  </w:txbxContent>
                </v:textbox>
                <w10:wrap type="none"/>
              </v:rect>
            </w:pict>
          </mc:Fallback>
        </mc:AlternateContent>
      </w:r>
    </w:p>
    <w:p>
      <w:pPr>
        <w:pStyle w:val="TextBody"/>
        <w:bidi w:val="0"/>
        <w:spacing w:lineRule="auto" w:line="288" w:before="0" w:after="0"/>
        <w:ind w:left="0" w:right="0" w:hanging="117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pPr>
      <w:r>
        <w:rPr>
          <w:rFonts w:ascii="Times New Roman;serif" w:hAnsi="Times New Roman;serif"/>
          <w:b/>
          <w:color w:val="231F20"/>
          <w:sz w:val="20"/>
        </w:rPr>
        <w:t>XANADU</w:t>
      </w:r>
      <w:r>
        <w:rPr>
          <w:color w:val="231F20"/>
        </w:rPr>
        <w:t xml:space="preserve"> </w:t>
      </w:r>
      <w:r>
        <w:rPr>
          <w:rFonts w:ascii="Times New Roman;serif" w:hAnsi="Times New Roman;serif"/>
          <w:b/>
          <w:color w:val="231F20"/>
          <w:sz w:val="20"/>
        </w:rPr>
        <w:t>QUANTUM</w:t>
      </w:r>
      <w:r>
        <w:rPr>
          <w:color w:val="231F20"/>
        </w:rPr>
        <w:t xml:space="preserve"> </w:t>
      </w:r>
      <w:r>
        <w:rPr>
          <w:rFonts w:ascii="Times New Roman;serif" w:hAnsi="Times New Roman;serif"/>
          <w:b/>
          <w:color w:val="231F20"/>
          <w:sz w:val="20"/>
        </w:rPr>
        <w:t>TECHNOLOGIES LIMITED</w:t>
      </w:r>
    </w:p>
    <w:p>
      <w:pPr>
        <w:pStyle w:val="TextBody"/>
        <w:bidi w:val="0"/>
        <w:spacing w:lineRule="auto" w:line="288" w:before="0" w:after="0"/>
        <w:jc w:val="center"/>
        <w:rPr/>
      </w:pPr>
      <w:r>
        <w:rPr>
          <w:rFonts w:ascii="Times New Roman;serif" w:hAnsi="Times New Roman;serif"/>
          <w:b/>
          <w:color w:val="231F20"/>
          <w:sz w:val="20"/>
        </w:rPr>
        <w:t>Notes</w:t>
      </w:r>
      <w:r>
        <w:rPr>
          <w:color w:val="231F20"/>
        </w:rPr>
        <w:t xml:space="preserve"> </w:t>
      </w:r>
      <w:r>
        <w:rPr>
          <w:rFonts w:ascii="Times New Roman;serif" w:hAnsi="Times New Roman;serif"/>
          <w:b/>
          <w:color w:val="231F20"/>
          <w:sz w:val="20"/>
        </w:rPr>
        <w:t>to</w:t>
      </w:r>
      <w:r>
        <w:rPr>
          <w:color w:val="231F20"/>
        </w:rPr>
        <w:t xml:space="preserve"> </w:t>
      </w:r>
      <w:r>
        <w:rPr>
          <w:rFonts w:ascii="Times New Roman;serif" w:hAnsi="Times New Roman;serif"/>
          <w:b/>
          <w:color w:val="231F20"/>
          <w:sz w:val="20"/>
        </w:rPr>
        <w:t>the</w:t>
      </w:r>
      <w:r>
        <w:rPr>
          <w:color w:val="231F20"/>
        </w:rPr>
        <w:t xml:space="preserve"> </w:t>
      </w:r>
      <w:r>
        <w:rPr>
          <w:rFonts w:ascii="Times New Roman;serif" w:hAnsi="Times New Roman;serif"/>
          <w:b/>
          <w:color w:val="231F20"/>
          <w:sz w:val="20"/>
        </w:rPr>
        <w:t>Condensed</w:t>
      </w:r>
      <w:r>
        <w:rPr>
          <w:color w:val="231F20"/>
        </w:rPr>
        <w:t xml:space="preserve"> </w:t>
      </w:r>
      <w:r>
        <w:rPr>
          <w:rFonts w:ascii="Times New Roman;serif" w:hAnsi="Times New Roman;serif"/>
          <w:b/>
          <w:color w:val="231F20"/>
          <w:sz w:val="20"/>
        </w:rPr>
        <w:t>Consolidated</w:t>
      </w:r>
      <w:r>
        <w:rPr>
          <w:color w:val="231F20"/>
        </w:rPr>
        <w:t xml:space="preserve"> </w:t>
      </w:r>
      <w:r>
        <w:rPr>
          <w:rFonts w:ascii="Times New Roman;serif" w:hAnsi="Times New Roman;serif"/>
          <w:b/>
          <w:color w:val="231F20"/>
          <w:sz w:val="20"/>
        </w:rPr>
        <w:t>Financial</w:t>
      </w:r>
      <w:r>
        <w:rPr>
          <w:color w:val="231F20"/>
        </w:rPr>
        <w:t xml:space="preserve"> </w:t>
      </w:r>
      <w:r>
        <w:rPr>
          <w:rFonts w:ascii="Times New Roman;serif" w:hAnsi="Times New Roman;serif"/>
          <w:b/>
          <w:color w:val="231F20"/>
          <w:sz w:val="20"/>
        </w:rPr>
        <w:t xml:space="preserve">Statements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 except for share and per share amounts, ratios or as otherwise noted)</w:t>
      </w:r>
    </w:p>
    <w:p>
      <w:pPr>
        <w:pStyle w:val="TextBody"/>
        <w:bidi w:val="0"/>
        <w:spacing w:before="0" w:after="0"/>
        <w:jc w:val="center"/>
        <w:rPr/>
      </w:pPr>
      <w:r>
        <w:rPr/>
      </w:r>
    </w:p>
    <w:p>
      <w:pPr>
        <w:pStyle w:val="TextBody"/>
        <w:bidi w:val="0"/>
        <w:spacing w:lineRule="auto" w:line="240" w:before="170" w:after="283"/>
        <w:jc w:val="both"/>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120" w:after="120"/>
        <w:ind w:left="0" w:right="0" w:firstLine="450"/>
        <w:jc w:val="both"/>
        <w:rPr/>
      </w:pP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following</w:t>
      </w:r>
      <w:r>
        <w:rPr>
          <w:color w:val="231F20"/>
        </w:rPr>
        <w:t xml:space="preserve"> </w:t>
      </w:r>
      <w:r>
        <w:rPr>
          <w:rFonts w:ascii="Times New Roman;serif" w:hAnsi="Times New Roman;serif"/>
          <w:b w:val="false"/>
          <w:color w:val="231F20"/>
          <w:sz w:val="20"/>
        </w:rPr>
        <w:t>table</w:t>
      </w:r>
      <w:r>
        <w:rPr>
          <w:color w:val="231F20"/>
        </w:rPr>
        <w:t xml:space="preserve"> </w:t>
      </w:r>
      <w:r>
        <w:rPr>
          <w:rFonts w:ascii="Times New Roman;serif" w:hAnsi="Times New Roman;serif"/>
          <w:b w:val="false"/>
          <w:color w:val="231F20"/>
          <w:sz w:val="20"/>
        </w:rPr>
        <w:t>summarizes</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stock-based</w:t>
      </w:r>
      <w:r>
        <w:rPr>
          <w:color w:val="231F20"/>
        </w:rPr>
        <w:t xml:space="preserve"> </w:t>
      </w:r>
      <w:r>
        <w:rPr>
          <w:rFonts w:ascii="Times New Roman;serif" w:hAnsi="Times New Roman;serif"/>
          <w:b w:val="false"/>
          <w:color w:val="231F20"/>
          <w:sz w:val="20"/>
        </w:rPr>
        <w:t>compensation</w:t>
      </w:r>
      <w:r>
        <w:rPr>
          <w:color w:val="231F20"/>
        </w:rPr>
        <w:t xml:space="preserve"> </w:t>
      </w:r>
      <w:r>
        <w:rPr>
          <w:rFonts w:ascii="Times New Roman;serif" w:hAnsi="Times New Roman;serif"/>
          <w:b w:val="false"/>
          <w:color w:val="231F20"/>
          <w:sz w:val="20"/>
        </w:rPr>
        <w:t>expense related to stock options and RSUs</w:t>
      </w:r>
      <w:r>
        <w:rPr>
          <w:color w:val="231F20"/>
        </w:rPr>
        <w:t xml:space="preserve"> </w:t>
      </w:r>
      <w:r>
        <w:rPr>
          <w:rFonts w:ascii="Times New Roman;serif" w:hAnsi="Times New Roman;serif"/>
          <w:b w:val="false"/>
          <w:color w:val="231F20"/>
          <w:sz w:val="20"/>
        </w:rPr>
        <w:t>classified</w:t>
      </w:r>
      <w:r>
        <w:rPr>
          <w:color w:val="231F20"/>
        </w:rPr>
        <w:t xml:space="preserve"> </w:t>
      </w:r>
      <w:r>
        <w:rPr>
          <w:rFonts w:ascii="Times New Roman;serif" w:hAnsi="Times New Roman;serif"/>
          <w:b w:val="false"/>
          <w:color w:val="231F20"/>
          <w:sz w:val="20"/>
        </w:rPr>
        <w:t>in</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 xml:space="preserve">consolidated statements of operations and comprehensive loss for the </w:t>
      </w:r>
      <w:r>
        <w:rPr>
          <w:rFonts w:ascii="Times New Roman;serif" w:hAnsi="Times New Roman;serif"/>
          <w:b w:val="false"/>
          <w:color w:val="000000"/>
          <w:sz w:val="20"/>
        </w:rPr>
        <w:t>three and six months ended</w:t>
      </w:r>
      <w:r>
        <w:rPr>
          <w:color w:val="231F20"/>
        </w:rPr>
        <w:t xml:space="preserve"> </w:t>
      </w:r>
      <w:r>
        <w:rPr>
          <w:rFonts w:ascii="Times New Roman;serif" w:hAnsi="Times New Roman;serif"/>
          <w:b w:val="false"/>
          <w:color w:val="231F20"/>
          <w:sz w:val="20"/>
        </w:rPr>
        <w:t>June 30, 2026 and 2025:</w:t>
      </w:r>
    </w:p>
    <w:tbl>
      <w:tblPr>
        <w:tblW w:w="8205" w:type="dxa"/>
        <w:jc w:val="left"/>
        <w:tblInd w:w="0" w:type="dxa"/>
        <w:tblLayout w:type="fixed"/>
        <w:tblCellMar>
          <w:top w:w="28" w:type="dxa"/>
          <w:left w:w="28" w:type="dxa"/>
          <w:bottom w:w="28" w:type="dxa"/>
          <w:right w:w="28" w:type="dxa"/>
        </w:tblCellMar>
      </w:tblPr>
      <w:tblGrid>
        <w:gridCol w:w="1276"/>
        <w:gridCol w:w="1123"/>
        <w:gridCol w:w="1126"/>
        <w:gridCol w:w="211"/>
        <w:gridCol w:w="631"/>
        <w:gridCol w:w="109"/>
        <w:gridCol w:w="109"/>
        <w:gridCol w:w="109"/>
        <w:gridCol w:w="109"/>
        <w:gridCol w:w="211"/>
        <w:gridCol w:w="481"/>
        <w:gridCol w:w="109"/>
        <w:gridCol w:w="109"/>
        <w:gridCol w:w="109"/>
        <w:gridCol w:w="109"/>
        <w:gridCol w:w="211"/>
        <w:gridCol w:w="631"/>
        <w:gridCol w:w="109"/>
        <w:gridCol w:w="109"/>
        <w:gridCol w:w="109"/>
        <w:gridCol w:w="109"/>
        <w:gridCol w:w="211"/>
        <w:gridCol w:w="631"/>
        <w:gridCol w:w="154"/>
      </w:tblGrid>
      <w:tr>
        <w:trPr/>
        <w:tc>
          <w:tcPr>
            <w:tcW w:w="127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Six months ended</w:t>
              <w:br/>
              <w:t>June 30,</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2026</w:t>
            </w:r>
          </w:p>
        </w:tc>
        <w:tc>
          <w:tcPr>
            <w:tcW w:w="327" w:type="dxa"/>
            <w:gridSpan w:val="3"/>
            <w:tcBorders>
              <w:top w:val="single" w:sz="4"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2026</w:t>
            </w:r>
          </w:p>
        </w:tc>
        <w:tc>
          <w:tcPr>
            <w:tcW w:w="327" w:type="dxa"/>
            <w:gridSpan w:val="3"/>
            <w:tcBorders>
              <w:top w:val="single" w:sz="4"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2025</w:t>
            </w:r>
          </w:p>
        </w:tc>
      </w:tr>
      <w:tr>
        <w:trPr/>
        <w:tc>
          <w:tcPr>
            <w:tcW w:w="3525" w:type="dxa"/>
            <w:gridSpan w:val="3"/>
            <w:tcBorders/>
            <w:shd w:fill="CCED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 xml:space="preserve">Cost of revenue </w:t>
            </w:r>
          </w:p>
        </w:tc>
        <w:tc>
          <w:tcPr>
            <w:tcW w:w="21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3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5 </w:t>
            </w:r>
          </w:p>
        </w:tc>
        <w:tc>
          <w:tcPr>
            <w:tcW w:w="109"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8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8 </w:t>
            </w:r>
          </w:p>
        </w:tc>
        <w:tc>
          <w:tcPr>
            <w:tcW w:w="109"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3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42 </w:t>
            </w:r>
          </w:p>
        </w:tc>
        <w:tc>
          <w:tcPr>
            <w:tcW w:w="109"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3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17 </w:t>
            </w:r>
          </w:p>
        </w:tc>
        <w:tc>
          <w:tcPr>
            <w:tcW w:w="154"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Research and development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D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General and administrative</w:t>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2,088 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145 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2,394 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285 </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Sales and marketing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DFF" w:val="clear"/>
            <w:tcMar>
              <w:top w:w="0" w:type="dxa"/>
              <w:left w:w="0" w:type="dxa"/>
              <w:bottom w:w="0" w:type="dxa"/>
              <w:right w:w="0" w:type="dxa"/>
            </w:tcMar>
            <w:vAlign w:val="center"/>
          </w:tcPr>
          <w:p>
            <w:pPr>
              <w:pStyle w:val="TableContents"/>
              <w:bidi w:val="0"/>
              <w:spacing w:lineRule="atLeast" w:line="210" w:before="0" w:after="0"/>
              <w:jc w:val="left"/>
              <w:rPr>
                <w:rFonts w:ascii="Times New Roman;serif" w:hAnsi="Times New Roman;serif"/>
                <w:b/>
                <w:color w:val="231F20"/>
                <w:sz w:val="20"/>
              </w:rPr>
            </w:pPr>
            <w:r>
              <w:rPr>
                <w:rFonts w:ascii="Times New Roman;serif" w:hAnsi="Times New Roman;serif"/>
                <w:b/>
                <w:color w:val="231F20"/>
                <w:sz w:val="20"/>
              </w:rPr>
              <w:t>Total stock-based compensation expense</w:t>
            </w:r>
          </w:p>
        </w:tc>
        <w:tc>
          <w:tcPr>
            <w:tcW w:w="21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63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4,678</w:t>
            </w:r>
            <w:r>
              <w:rPr>
                <w:color w:val="231F20"/>
              </w:rPr>
              <w:t> </w:t>
            </w:r>
          </w:p>
        </w:tc>
        <w:tc>
          <w:tcPr>
            <w:tcW w:w="109"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48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848</w:t>
            </w:r>
            <w:r>
              <w:rPr>
                <w:color w:val="231F20"/>
              </w:rPr>
              <w:t> </w:t>
            </w:r>
          </w:p>
        </w:tc>
        <w:tc>
          <w:tcPr>
            <w:tcW w:w="109"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63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6,086</w:t>
            </w:r>
            <w:r>
              <w:rPr>
                <w:color w:val="231F20"/>
              </w:rPr>
              <w:t> </w:t>
            </w:r>
          </w:p>
        </w:tc>
        <w:tc>
          <w:tcPr>
            <w:tcW w:w="109"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63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1,658</w:t>
            </w:r>
            <w:r>
              <w:rPr>
                <w:color w:val="231F20"/>
              </w:rPr>
              <w:t> </w:t>
            </w:r>
          </w:p>
        </w:tc>
        <w:tc>
          <w:tcPr>
            <w:tcW w:w="154"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left"/>
        <w:rPr/>
      </w:pPr>
      <w:r>
        <w:rPr>
          <w:rFonts w:ascii="Times New Roman;serif" w:hAnsi="Times New Roman;serif"/>
          <w:b w:val="false"/>
          <w:color w:val="231F20"/>
          <w:sz w:val="20"/>
        </w:rPr>
        <w:t xml:space="preserve">Stock-based compensation capitalized to intangible assets for the three months ended June 30, 2026 and 2025 was $80 and $48, respectively. Stock-based compensation capitalized to intangible assets for the six months ended June 30, 2026 and 2025 was </w:t>
      </w:r>
      <w:r>
        <w:rPr>
          <w:rFonts w:ascii="Times New Roman;serif" w:hAnsi="Times New Roman;serif"/>
          <w:b w:val="false"/>
          <w:color w:val="000000"/>
          <w:sz w:val="20"/>
        </w:rPr>
        <w:t>$111</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$101</w:t>
      </w:r>
      <w:r>
        <w:rPr>
          <w:rFonts w:ascii="Times New Roman;serif" w:hAnsi="Times New Roman;serif"/>
          <w:b w:val="false"/>
          <w:color w:val="231F20"/>
          <w:sz w:val="20"/>
        </w:rPr>
        <w:t xml:space="preserve">, respectively. </w:t>
      </w:r>
    </w:p>
    <w:p>
      <w:pPr>
        <w:pStyle w:val="TextBody"/>
        <w:bidi w:val="0"/>
        <w:spacing w:lineRule="auto" w:line="288" w:before="0" w:after="160"/>
        <w:ind w:left="0" w:right="0" w:firstLine="360"/>
        <w:jc w:val="both"/>
        <w:rPr/>
      </w:pPr>
      <w:r>
        <w:rPr>
          <w:rFonts w:ascii="Times New Roman;serif" w:hAnsi="Times New Roman;serif"/>
          <w:b w:val="false"/>
          <w:color w:val="231F20"/>
          <w:sz w:val="20"/>
        </w:rPr>
        <w:t>As</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June 30, 2026,</w:t>
      </w:r>
      <w:r>
        <w:rPr>
          <w:color w:val="231F20"/>
        </w:rPr>
        <w:t xml:space="preserve"> </w:t>
      </w:r>
      <w:r>
        <w:rPr>
          <w:rFonts w:ascii="Times New Roman;serif" w:hAnsi="Times New Roman;serif"/>
          <w:b w:val="false"/>
          <w:color w:val="231F20"/>
          <w:sz w:val="20"/>
        </w:rPr>
        <w:t>total</w:t>
      </w:r>
      <w:r>
        <w:rPr>
          <w:color w:val="231F20"/>
        </w:rPr>
        <w:t xml:space="preserve"> </w:t>
      </w:r>
      <w:r>
        <w:rPr>
          <w:rFonts w:ascii="Times New Roman;serif" w:hAnsi="Times New Roman;serif"/>
          <w:b w:val="false"/>
          <w:color w:val="231F20"/>
          <w:sz w:val="20"/>
        </w:rPr>
        <w:t>unrecognized</w:t>
      </w:r>
      <w:r>
        <w:rPr>
          <w:color w:val="231F20"/>
        </w:rPr>
        <w:t xml:space="preserve"> </w:t>
      </w:r>
      <w:r>
        <w:rPr>
          <w:rFonts w:ascii="Times New Roman;serif" w:hAnsi="Times New Roman;serif"/>
          <w:b w:val="false"/>
          <w:color w:val="231F20"/>
          <w:sz w:val="20"/>
        </w:rPr>
        <w:t>stock-based</w:t>
      </w:r>
      <w:r>
        <w:rPr>
          <w:color w:val="231F20"/>
        </w:rPr>
        <w:t xml:space="preserve"> </w:t>
      </w:r>
      <w:r>
        <w:rPr>
          <w:rFonts w:ascii="Times New Roman;serif" w:hAnsi="Times New Roman;serif"/>
          <w:b w:val="false"/>
          <w:color w:val="231F20"/>
          <w:sz w:val="20"/>
        </w:rPr>
        <w:t>compensation</w:t>
      </w:r>
      <w:r>
        <w:rPr>
          <w:color w:val="231F20"/>
        </w:rPr>
        <w:t xml:space="preserve"> </w:t>
      </w:r>
      <w:r>
        <w:rPr>
          <w:rFonts w:ascii="Times New Roman;serif" w:hAnsi="Times New Roman;serif"/>
          <w:b w:val="false"/>
          <w:color w:val="231F20"/>
          <w:sz w:val="20"/>
        </w:rPr>
        <w:t>cost</w:t>
      </w:r>
      <w:r>
        <w:rPr>
          <w:color w:val="231F20"/>
        </w:rPr>
        <w:t xml:space="preserve"> </w:t>
      </w:r>
      <w:r>
        <w:rPr>
          <w:rFonts w:ascii="Times New Roman;serif" w:hAnsi="Times New Roman;serif"/>
          <w:b w:val="false"/>
          <w:color w:val="231F20"/>
          <w:sz w:val="20"/>
        </w:rPr>
        <w:t>related</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unvested</w:t>
      </w:r>
      <w:r>
        <w:rPr>
          <w:color w:val="231F20"/>
        </w:rPr>
        <w:t xml:space="preserve"> </w:t>
      </w:r>
      <w:r>
        <w:rPr>
          <w:rFonts w:ascii="Times New Roman;serif" w:hAnsi="Times New Roman;serif"/>
          <w:b w:val="false"/>
          <w:color w:val="231F20"/>
          <w:sz w:val="20"/>
        </w:rPr>
        <w:t>stock</w:t>
      </w:r>
      <w:r>
        <w:rPr>
          <w:color w:val="231F20"/>
        </w:rPr>
        <w:t xml:space="preserve"> </w:t>
      </w:r>
      <w:r>
        <w:rPr>
          <w:rFonts w:ascii="Times New Roman;serif" w:hAnsi="Times New Roman;serif"/>
          <w:b w:val="false"/>
          <w:color w:val="231F20"/>
          <w:sz w:val="20"/>
        </w:rPr>
        <w:t>options and RSUs was $53,252.</w:t>
      </w:r>
      <w:r>
        <w:rPr>
          <w:color w:val="231F20"/>
        </w:rPr>
        <w:t xml:space="preserve"> </w:t>
      </w:r>
      <w:r>
        <w:rPr>
          <w:rFonts w:ascii="Times New Roman;serif" w:hAnsi="Times New Roman;serif"/>
          <w:b w:val="false"/>
          <w:color w:val="231F20"/>
          <w:sz w:val="20"/>
        </w:rPr>
        <w:t>This amount will be recognized over a weighted-average period of approximately 2.8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hanging="540"/>
        <w:jc w:val="left"/>
        <w:rPr>
          <w:rFonts w:ascii="Times New Roman;serif" w:hAnsi="Times New Roman;serif"/>
          <w:b/>
          <w:color w:val="231F20"/>
          <w:sz w:val="20"/>
        </w:rPr>
      </w:pPr>
      <w:r>
        <w:rPr>
          <w:rFonts w:ascii="Times New Roman;serif" w:hAnsi="Times New Roman;serif"/>
          <w:b/>
          <w:color w:val="231F20"/>
          <w:sz w:val="20"/>
        </w:rPr>
        <w:t>Note 15 - Leases:</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Xanadu enters into operating leases for its office and operational purposes. As of </w:t>
      </w:r>
      <w:r>
        <w:rPr>
          <w:rFonts w:ascii="Times New Roman;serif" w:hAnsi="Times New Roman;serif"/>
          <w:b w:val="false"/>
          <w:color w:val="231F20"/>
          <w:sz w:val="20"/>
        </w:rPr>
        <w:t xml:space="preserve">June 30, 2026 and December 31, 2025, </w:t>
      </w:r>
      <w:r>
        <w:rPr>
          <w:rFonts w:ascii="Times New Roman;serif" w:hAnsi="Times New Roman;serif"/>
          <w:b w:val="false"/>
          <w:color w:val="000000"/>
          <w:sz w:val="20"/>
        </w:rPr>
        <w:t>Xanadu’s leases had a weighted average remaining lease term of 13 years and</w:t>
      </w:r>
      <w:r>
        <w:rPr>
          <w:color w:val="231F20"/>
        </w:rPr>
        <w:t xml:space="preserve"> </w:t>
      </w:r>
      <w:r>
        <w:rPr>
          <w:rFonts w:ascii="Times New Roman;serif" w:hAnsi="Times New Roman;serif"/>
          <w:b w:val="false"/>
          <w:color w:val="000000"/>
          <w:sz w:val="20"/>
        </w:rPr>
        <w:t xml:space="preserve">eight years, respectively.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Xanadu’s leases are subject to annual operating costs that may change from time to time during the lease term. These costs are accounted for as variable lease payments and are recognized in the consolidated statements of operations and comprehensive loss in the year in which the obligation for these payments is incurred. These annual operating costs are a non-lease component, which are accounted for separately in the determination of lease costs.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lease costs:</w:t>
      </w:r>
    </w:p>
    <w:tbl>
      <w:tblPr>
        <w:tblW w:w="10205" w:type="dxa"/>
        <w:jc w:val="left"/>
        <w:tblInd w:w="0" w:type="dxa"/>
        <w:tblLayout w:type="fixed"/>
        <w:tblCellMar>
          <w:top w:w="28" w:type="dxa"/>
          <w:left w:w="28" w:type="dxa"/>
          <w:bottom w:w="28" w:type="dxa"/>
          <w:right w:w="28" w:type="dxa"/>
        </w:tblCellMar>
      </w:tblPr>
      <w:tblGrid>
        <w:gridCol w:w="1948"/>
        <w:gridCol w:w="1711"/>
        <w:gridCol w:w="1715"/>
        <w:gridCol w:w="211"/>
        <w:gridCol w:w="721"/>
        <w:gridCol w:w="109"/>
        <w:gridCol w:w="109"/>
        <w:gridCol w:w="109"/>
        <w:gridCol w:w="109"/>
        <w:gridCol w:w="211"/>
        <w:gridCol w:w="466"/>
        <w:gridCol w:w="109"/>
        <w:gridCol w:w="109"/>
        <w:gridCol w:w="109"/>
        <w:gridCol w:w="109"/>
        <w:gridCol w:w="211"/>
        <w:gridCol w:w="721"/>
        <w:gridCol w:w="109"/>
        <w:gridCol w:w="109"/>
        <w:gridCol w:w="109"/>
        <w:gridCol w:w="109"/>
        <w:gridCol w:w="211"/>
        <w:gridCol w:w="616"/>
        <w:gridCol w:w="155"/>
      </w:tblGrid>
      <w:tr>
        <w:trPr/>
        <w:tc>
          <w:tcPr>
            <w:tcW w:w="1948"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Six months ended</w:t>
              <w:br/>
              <w:t>June 30,</w:t>
            </w:r>
          </w:p>
        </w:tc>
      </w:tr>
      <w:tr>
        <w:trPr/>
        <w:tc>
          <w:tcPr>
            <w:tcW w:w="5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2026</w:t>
            </w:r>
          </w:p>
        </w:tc>
        <w:tc>
          <w:tcPr>
            <w:tcW w:w="327" w:type="dxa"/>
            <w:gridSpan w:val="3"/>
            <w:tcBorders>
              <w:top w:val="single" w:sz="4"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2026</w:t>
            </w:r>
          </w:p>
        </w:tc>
        <w:tc>
          <w:tcPr>
            <w:tcW w:w="327" w:type="dxa"/>
            <w:gridSpan w:val="3"/>
            <w:tcBorders>
              <w:top w:val="single" w:sz="4"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2025</w:t>
            </w:r>
          </w:p>
        </w:tc>
      </w:tr>
      <w:tr>
        <w:trPr/>
        <w:tc>
          <w:tcPr>
            <w:tcW w:w="537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Components of lease costs: </w:t>
            </w:r>
          </w:p>
        </w:tc>
        <w:tc>
          <w:tcPr>
            <w:tcW w:w="1041" w:type="dxa"/>
            <w:gridSpan w:val="3"/>
            <w:tcBorders>
              <w:top w:val="single" w:sz="4" w:space="0" w:color="231F2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231F2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231F2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4" w:space="0" w:color="231F2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 (not included in the measurement of lease liabilities)</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5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lease costs</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additions to operating right-of-use assets</w:t>
            </w:r>
          </w:p>
        </w:tc>
        <w:tc>
          <w:tcPr>
            <w:tcW w:w="211"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19,119 </w:t>
            </w:r>
          </w:p>
        </w:tc>
        <w:tc>
          <w:tcPr>
            <w:tcW w:w="109" w:type="dxa"/>
            <w:tcBorders>
              <w:top w:val="doub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19,119 </w:t>
            </w:r>
          </w:p>
        </w:tc>
        <w:tc>
          <w:tcPr>
            <w:tcW w:w="109" w:type="dxa"/>
            <w:tcBorders>
              <w:top w:val="doub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doub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70" w:after="283"/>
        <w:ind w:left="0" w:right="0" w:firstLine="360"/>
        <w:jc w:val="both"/>
        <w:rPr/>
      </w:pPr>
      <w:r>
        <w:rPr>
          <w:rFonts w:ascii="Times New Roman;serif" w:hAnsi="Times New Roman;serif"/>
          <w:b w:val="false"/>
          <w:color w:val="000000"/>
          <w:sz w:val="20"/>
        </w:rPr>
        <w:t xml:space="preserve">The weighted average discount rate used to measure Xanadu’s operating lease liabilities was 5.9% and 3.6% as of </w:t>
      </w:r>
      <w:r>
        <w:rPr>
          <w:rFonts w:ascii="Times New Roman;serif" w:hAnsi="Times New Roman;serif"/>
          <w:b w:val="false"/>
          <w:color w:val="231F20"/>
          <w:sz w:val="20"/>
        </w:rPr>
        <w:t xml:space="preserve">June 30, 2026 and December 31, 2025,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16840"/>
                <wp:effectExtent l="0" t="0" r="0" b="0"/>
                <wp:wrapNone/>
                <wp:docPr id="48" name="Frame4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37</w:t>
                      </w:r>
                    </w:p>
                  </w:txbxContent>
                </v:textbox>
                <w10:wrap type="none"/>
              </v:rect>
            </w:pict>
          </mc:Fallback>
        </mc:AlternateContent>
      </w:r>
    </w:p>
    <w:p>
      <w:pPr>
        <w:pStyle w:val="TextBody"/>
        <w:bidi w:val="0"/>
        <w:spacing w:lineRule="auto" w:line="288" w:before="0" w:after="0"/>
        <w:ind w:left="0" w:right="0" w:hanging="117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pPr>
      <w:r>
        <w:rPr>
          <w:rFonts w:ascii="Times New Roman;serif" w:hAnsi="Times New Roman;serif"/>
          <w:b/>
          <w:color w:val="231F20"/>
          <w:sz w:val="20"/>
        </w:rPr>
        <w:t>XANADU</w:t>
      </w:r>
      <w:r>
        <w:rPr>
          <w:color w:val="231F20"/>
        </w:rPr>
        <w:t xml:space="preserve"> </w:t>
      </w:r>
      <w:r>
        <w:rPr>
          <w:rFonts w:ascii="Times New Roman;serif" w:hAnsi="Times New Roman;serif"/>
          <w:b/>
          <w:color w:val="231F20"/>
          <w:sz w:val="20"/>
        </w:rPr>
        <w:t>QUANTUM</w:t>
      </w:r>
      <w:r>
        <w:rPr>
          <w:color w:val="231F20"/>
        </w:rPr>
        <w:t xml:space="preserve"> </w:t>
      </w:r>
      <w:r>
        <w:rPr>
          <w:rFonts w:ascii="Times New Roman;serif" w:hAnsi="Times New Roman;serif"/>
          <w:b/>
          <w:color w:val="231F20"/>
          <w:sz w:val="20"/>
        </w:rPr>
        <w:t>TECHNOLOGIES LIMITED</w:t>
      </w:r>
    </w:p>
    <w:p>
      <w:pPr>
        <w:pStyle w:val="TextBody"/>
        <w:bidi w:val="0"/>
        <w:spacing w:lineRule="auto" w:line="288" w:before="0" w:after="0"/>
        <w:jc w:val="center"/>
        <w:rPr/>
      </w:pPr>
      <w:r>
        <w:rPr>
          <w:rFonts w:ascii="Times New Roman;serif" w:hAnsi="Times New Roman;serif"/>
          <w:b/>
          <w:color w:val="231F20"/>
          <w:sz w:val="20"/>
        </w:rPr>
        <w:t>Notes</w:t>
      </w:r>
      <w:r>
        <w:rPr>
          <w:color w:val="231F20"/>
        </w:rPr>
        <w:t xml:space="preserve"> </w:t>
      </w:r>
      <w:r>
        <w:rPr>
          <w:rFonts w:ascii="Times New Roman;serif" w:hAnsi="Times New Roman;serif"/>
          <w:b/>
          <w:color w:val="231F20"/>
          <w:sz w:val="20"/>
        </w:rPr>
        <w:t>to</w:t>
      </w:r>
      <w:r>
        <w:rPr>
          <w:color w:val="231F20"/>
        </w:rPr>
        <w:t xml:space="preserve"> </w:t>
      </w:r>
      <w:r>
        <w:rPr>
          <w:rFonts w:ascii="Times New Roman;serif" w:hAnsi="Times New Roman;serif"/>
          <w:b/>
          <w:color w:val="231F20"/>
          <w:sz w:val="20"/>
        </w:rPr>
        <w:t>the</w:t>
      </w:r>
      <w:r>
        <w:rPr>
          <w:color w:val="231F20"/>
        </w:rPr>
        <w:t xml:space="preserve"> </w:t>
      </w:r>
      <w:r>
        <w:rPr>
          <w:rFonts w:ascii="Times New Roman;serif" w:hAnsi="Times New Roman;serif"/>
          <w:b/>
          <w:color w:val="231F20"/>
          <w:sz w:val="20"/>
        </w:rPr>
        <w:t>Condensed</w:t>
      </w:r>
      <w:r>
        <w:rPr>
          <w:color w:val="231F20"/>
        </w:rPr>
        <w:t xml:space="preserve"> </w:t>
      </w:r>
      <w:r>
        <w:rPr>
          <w:rFonts w:ascii="Times New Roman;serif" w:hAnsi="Times New Roman;serif"/>
          <w:b/>
          <w:color w:val="231F20"/>
          <w:sz w:val="20"/>
        </w:rPr>
        <w:t>Consolidated</w:t>
      </w:r>
      <w:r>
        <w:rPr>
          <w:color w:val="231F20"/>
        </w:rPr>
        <w:t xml:space="preserve"> </w:t>
      </w:r>
      <w:r>
        <w:rPr>
          <w:rFonts w:ascii="Times New Roman;serif" w:hAnsi="Times New Roman;serif"/>
          <w:b/>
          <w:color w:val="231F20"/>
          <w:sz w:val="20"/>
        </w:rPr>
        <w:t>Financial</w:t>
      </w:r>
      <w:r>
        <w:rPr>
          <w:color w:val="231F20"/>
        </w:rPr>
        <w:t xml:space="preserve"> </w:t>
      </w:r>
      <w:r>
        <w:rPr>
          <w:rFonts w:ascii="Times New Roman;serif" w:hAnsi="Times New Roman;serif"/>
          <w:b/>
          <w:color w:val="231F20"/>
          <w:sz w:val="20"/>
        </w:rPr>
        <w:t xml:space="preserve">Statements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 except for share and per share amounts, ratios or as otherwise noted)</w:t>
      </w:r>
    </w:p>
    <w:p>
      <w:pPr>
        <w:pStyle w:val="TextBody"/>
        <w:bidi w:val="0"/>
        <w:spacing w:before="0" w:after="0"/>
        <w:jc w:val="center"/>
        <w:rPr/>
      </w:pPr>
      <w:r>
        <w:rPr/>
      </w:r>
    </w:p>
    <w:p>
      <w:pPr>
        <w:pStyle w:val="TextBody"/>
        <w:bidi w:val="0"/>
        <w:spacing w:lineRule="auto" w:line="240" w:before="170" w:after="283"/>
        <w:jc w:val="left"/>
        <w:rPr/>
      </w:pPr>
      <w:r>
        <w:rPr>
          <w:rFonts w:ascii="Times New Roman;serif" w:hAnsi="Times New Roman;serif"/>
          <w:b w:val="false"/>
          <w:color w:val="000000"/>
          <w:sz w:val="20"/>
        </w:rPr>
        <w:t xml:space="preserve">Xanadu’s future minimum operating lease payments as of </w:t>
      </w:r>
      <w:r>
        <w:rPr>
          <w:rFonts w:ascii="Times New Roman;serif" w:hAnsi="Times New Roman;serif"/>
          <w:b w:val="false"/>
          <w:color w:val="231F20"/>
          <w:sz w:val="20"/>
        </w:rPr>
        <w:t>June 30, 2026</w:t>
      </w:r>
      <w:r>
        <w:rPr>
          <w:color w:val="000000"/>
        </w:rPr>
        <w:t xml:space="preserve"> </w:t>
      </w:r>
      <w:r>
        <w:rPr>
          <w:rFonts w:ascii="Times New Roman;serif" w:hAnsi="Times New Roman;serif"/>
          <w:b w:val="false"/>
          <w:color w:val="000000"/>
          <w:sz w:val="20"/>
        </w:rPr>
        <w:t>are as follows:</w:t>
      </w:r>
    </w:p>
    <w:tbl>
      <w:tblPr>
        <w:tblW w:w="5523" w:type="dxa"/>
        <w:jc w:val="left"/>
        <w:tblInd w:w="0" w:type="dxa"/>
        <w:tblLayout w:type="fixed"/>
        <w:tblCellMar>
          <w:top w:w="28" w:type="dxa"/>
          <w:left w:w="28" w:type="dxa"/>
          <w:bottom w:w="28" w:type="dxa"/>
          <w:right w:w="28" w:type="dxa"/>
        </w:tblCellMar>
      </w:tblPr>
      <w:tblGrid>
        <w:gridCol w:w="1487"/>
        <w:gridCol w:w="1307"/>
        <w:gridCol w:w="1316"/>
        <w:gridCol w:w="109"/>
        <w:gridCol w:w="109"/>
        <w:gridCol w:w="109"/>
        <w:gridCol w:w="211"/>
        <w:gridCol w:w="721"/>
        <w:gridCol w:w="154"/>
      </w:tblGrid>
      <w:tr>
        <w:trPr/>
        <w:tc>
          <w:tcPr>
            <w:tcW w:w="148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Remainder of 2026</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622 </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val="false"/>
                <w:color w:val="231F20"/>
                <w:sz w:val="20"/>
              </w:rPr>
            </w:pPr>
            <w:r>
              <w:rPr>
                <w:rFonts w:ascii="Times New Roman;serif" w:hAnsi="Times New Roman;serif"/>
                <w:b w:val="false"/>
                <w:color w:val="231F2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D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val="false"/>
                <w:color w:val="231F20"/>
                <w:sz w:val="20"/>
              </w:rPr>
            </w:pPr>
            <w:r>
              <w:rPr>
                <w:rFonts w:ascii="Times New Roman;serif" w:hAnsi="Times New Roman;serif"/>
                <w:b w:val="false"/>
                <w:color w:val="231F20"/>
                <w:sz w:val="20"/>
              </w:rPr>
              <w:t>2028</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3,166 </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val="false"/>
                <w:color w:val="231F20"/>
                <w:sz w:val="20"/>
              </w:rPr>
            </w:pPr>
            <w:r>
              <w:rPr>
                <w:rFonts w:ascii="Times New Roman;serif" w:hAnsi="Times New Roman;serif"/>
                <w:b w:val="false"/>
                <w:color w:val="231F2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D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val="false"/>
                <w:color w:val="231F20"/>
                <w:sz w:val="20"/>
              </w:rPr>
            </w:pPr>
            <w:r>
              <w:rPr>
                <w:rFonts w:ascii="Times New Roman;serif" w:hAnsi="Times New Roman;serif"/>
                <w:b w:val="false"/>
                <w:color w:val="231F20"/>
                <w:sz w:val="20"/>
              </w:rPr>
              <w:t>2030 and Thereafter</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31,743 </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color w:val="231F20"/>
                <w:sz w:val="20"/>
              </w:rPr>
            </w:pPr>
            <w:r>
              <w:rPr>
                <w:rFonts w:ascii="Times New Roman;serif" w:hAnsi="Times New Roman;serif"/>
                <w:b/>
                <w:color w:val="231F20"/>
                <w:sz w:val="20"/>
              </w:rPr>
              <w:t>Total future minimum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40,903 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D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val="false"/>
                <w:color w:val="231F20"/>
                <w:sz w:val="20"/>
              </w:rPr>
            </w:pPr>
            <w:r>
              <w:rPr>
                <w:rFonts w:ascii="Times New Roman;serif" w:hAnsi="Times New Roman;serif"/>
                <w:b w:val="false"/>
                <w:color w:val="231F20"/>
                <w:sz w:val="20"/>
              </w:rPr>
              <w:t>Less: imputed interest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(14,296)</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color w:val="231F20"/>
                <w:sz w:val="20"/>
              </w:rPr>
            </w:pPr>
            <w:r>
              <w:rPr>
                <w:rFonts w:ascii="Times New Roman;serif" w:hAnsi="Times New Roman;serif"/>
                <w:b/>
                <w:color w:val="231F20"/>
                <w:sz w:val="20"/>
              </w:rPr>
              <w:t>Total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26,607 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D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val="false"/>
                <w:color w:val="231F20"/>
                <w:sz w:val="20"/>
              </w:rPr>
            </w:pPr>
            <w:r>
              <w:rPr>
                <w:rFonts w:ascii="Times New Roman;serif" w:hAnsi="Times New Roman;serif"/>
                <w:b w:val="false"/>
                <w:color w:val="231F20"/>
                <w:sz w:val="20"/>
              </w:rPr>
              <w:t>Less: current portion of operating lease liabilities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(1,051)</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color w:val="231F20"/>
                <w:sz w:val="20"/>
              </w:rPr>
            </w:pPr>
            <w:r>
              <w:rPr>
                <w:rFonts w:ascii="Times New Roman;serif" w:hAnsi="Times New Roman;serif"/>
                <w:b/>
                <w:color w:val="231F20"/>
                <w:sz w:val="20"/>
              </w:rPr>
              <w:t>Long-term portion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25,556 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70" w:after="283"/>
        <w:jc w:val="left"/>
        <w:rPr>
          <w:rFonts w:ascii="Times New Roman;serif" w:hAnsi="Times New Roman;serif"/>
          <w:b/>
          <w:i/>
          <w:color w:val="000000"/>
          <w:sz w:val="20"/>
        </w:rPr>
      </w:pPr>
      <w:r>
        <w:rPr>
          <w:rFonts w:ascii="Times New Roman;serif" w:hAnsi="Times New Roman;serif"/>
          <w:b/>
          <w:i/>
          <w:color w:val="000000"/>
          <w:sz w:val="20"/>
        </w:rPr>
        <w:t>2026 Commenced Operating Leases</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On May 28, 2026, the Company entered into a new operating lease in Toronto, Ontario to service its future operations. The lease commencement date was determined to be June 17, 2026 and as a result a right-of use ("ROU") asset of $19,119 and a corresponding long-term lease liability were recognized on the consolidated balance sheet for the period ended </w:t>
      </w:r>
      <w:r>
        <w:rPr>
          <w:rFonts w:ascii="Times New Roman;serif" w:hAnsi="Times New Roman;serif"/>
          <w:b w:val="false"/>
          <w:color w:val="231F20"/>
          <w:sz w:val="20"/>
        </w:rPr>
        <w:t>June 30, 2026</w:t>
      </w:r>
      <w:r>
        <w:rPr>
          <w:rFonts w:ascii="Times New Roman;serif" w:hAnsi="Times New Roman;serif"/>
          <w:b w:val="false"/>
          <w:color w:val="000000"/>
          <w:sz w:val="20"/>
        </w:rPr>
        <w:t xml:space="preserve">. The lease has an initial term of approximately 16 years. </w:t>
      </w:r>
    </w:p>
    <w:p>
      <w:pPr>
        <w:pStyle w:val="TextBody"/>
        <w:bidi w:val="0"/>
        <w:spacing w:lineRule="auto" w:line="288" w:before="0" w:after="160"/>
        <w:ind w:left="0" w:right="0" w:hanging="540"/>
        <w:jc w:val="both"/>
        <w:rPr>
          <w:rFonts w:ascii="Times New Roman;serif" w:hAnsi="Times New Roman;serif"/>
          <w:b/>
          <w:i/>
          <w:color w:val="231F20"/>
          <w:sz w:val="20"/>
        </w:rPr>
      </w:pPr>
      <w:r>
        <w:rPr>
          <w:rFonts w:ascii="Times New Roman;serif" w:hAnsi="Times New Roman;serif"/>
          <w:b/>
          <w:i/>
          <w:color w:val="231F20"/>
          <w:sz w:val="20"/>
        </w:rPr>
        <w:t xml:space="preserve">Unrecognized Lease Commitments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May 2026, the Company entered into a new three-year lease for Toronto office space commencing August 1, 2026 and expiring July 31, 2029.</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As of </w:t>
      </w:r>
      <w:r>
        <w:rPr>
          <w:rFonts w:ascii="Times New Roman;serif" w:hAnsi="Times New Roman;serif"/>
          <w:b w:val="false"/>
          <w:color w:val="231F20"/>
          <w:sz w:val="20"/>
        </w:rPr>
        <w:t>June 30, 2026</w:t>
      </w:r>
      <w:r>
        <w:rPr>
          <w:rFonts w:ascii="Times New Roman;serif" w:hAnsi="Times New Roman;serif"/>
          <w:b w:val="false"/>
          <w:color w:val="000000"/>
          <w:sz w:val="20"/>
        </w:rPr>
        <w:t xml:space="preserve">, the lease has not commenced for accounting purposes under ASC 842, and therefore no ROU asset or lease liability has been recognized on the condensed consolidated balance sheets. Total undiscounted minimum lease payments under the agreement are $1,222 over the three-year term. The Company will recognize the ROU asset and corresponding lease liability beginning in the third quarter of 2026. </w:t>
      </w:r>
    </w:p>
    <w:p>
      <w:pPr>
        <w:pStyle w:val="TextBody"/>
        <w:bidi w:val="0"/>
        <w:spacing w:before="120" w:after="12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hanging="540"/>
        <w:jc w:val="left"/>
        <w:rPr/>
      </w:pPr>
      <w:r>
        <w:rPr>
          <w:rFonts w:ascii="Times New Roman;serif" w:hAnsi="Times New Roman;serif"/>
          <w:b/>
          <w:color w:val="231F20"/>
          <w:sz w:val="20"/>
        </w:rPr>
        <w:t>Note 16 - Commitments</w:t>
      </w:r>
      <w:r>
        <w:rPr>
          <w:color w:val="231F20"/>
        </w:rPr>
        <w:t xml:space="preserve"> </w:t>
      </w:r>
      <w:r>
        <w:rPr>
          <w:rFonts w:ascii="Times New Roman;serif" w:hAnsi="Times New Roman;serif"/>
          <w:b/>
          <w:color w:val="231F20"/>
          <w:sz w:val="20"/>
        </w:rPr>
        <w:t>and</w:t>
      </w:r>
      <w:r>
        <w:rPr>
          <w:color w:val="231F20"/>
        </w:rPr>
        <w:t xml:space="preserve"> </w:t>
      </w:r>
      <w:r>
        <w:rPr>
          <w:rFonts w:ascii="Times New Roman;serif" w:hAnsi="Times New Roman;serif"/>
          <w:b/>
          <w:color w:val="231F20"/>
          <w:sz w:val="20"/>
        </w:rPr>
        <w:t>Contingencies:</w:t>
      </w:r>
    </w:p>
    <w:p>
      <w:pPr>
        <w:pStyle w:val="TextBody"/>
        <w:bidi w:val="0"/>
        <w:spacing w:lineRule="auto" w:line="288" w:before="120" w:after="160"/>
        <w:ind w:left="0" w:right="0" w:hanging="360"/>
        <w:jc w:val="both"/>
        <w:rPr>
          <w:rFonts w:ascii="Times New Roman;serif" w:hAnsi="Times New Roman;serif"/>
          <w:b/>
          <w:i/>
          <w:color w:val="231F20"/>
          <w:sz w:val="20"/>
        </w:rPr>
      </w:pPr>
      <w:r>
        <w:rPr>
          <w:rFonts w:ascii="Times New Roman;serif" w:hAnsi="Times New Roman;serif"/>
          <w:b/>
          <w:i/>
          <w:color w:val="231F20"/>
          <w:sz w:val="20"/>
        </w:rPr>
        <w:t>Lease Obligations</w:t>
      </w:r>
    </w:p>
    <w:p>
      <w:pPr>
        <w:pStyle w:val="TextBody"/>
        <w:bidi w:val="0"/>
        <w:spacing w:lineRule="auto" w:line="240" w:before="0" w:after="0"/>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 xml:space="preserve">Refer to Note 15 for information on Xanadu's lease obligations as of June 30, 2026. </w:t>
      </w:r>
    </w:p>
    <w:p>
      <w:pPr>
        <w:pStyle w:val="TextBody"/>
        <w:bidi w:val="0"/>
        <w:spacing w:lineRule="auto" w:line="288" w:before="120" w:after="120"/>
        <w:ind w:left="0" w:right="0" w:hanging="1170"/>
        <w:jc w:val="both"/>
        <w:rPr>
          <w:rFonts w:ascii="Times New Roman;serif" w:hAnsi="Times New Roman;serif"/>
          <w:b/>
          <w:i/>
          <w:color w:val="231F20"/>
          <w:sz w:val="20"/>
        </w:rPr>
      </w:pPr>
      <w:r>
        <w:rPr>
          <w:rFonts w:ascii="Times New Roman;serif" w:hAnsi="Times New Roman;serif"/>
          <w:b/>
          <w:i/>
          <w:color w:val="231F20"/>
          <w:sz w:val="20"/>
        </w:rPr>
        <w:t>Litigation</w:t>
      </w:r>
    </w:p>
    <w:p>
      <w:pPr>
        <w:pStyle w:val="TextBody"/>
        <w:bidi w:val="0"/>
        <w:spacing w:lineRule="auto" w:line="288" w:before="120" w:after="12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From time to time, the Company may become a party to various legal proceedings in the ordinary course of business. Management believes that there are currently no claims or actions pending against the Company, the ultimate disposition of which could have a material adverse effect on the Company’s results of operations, financial condition, or cash flows, including third party infringement claims, labor and employment claims and threatened claims, tax and other matters.</w:t>
      </w:r>
    </w:p>
    <w:p>
      <w:pPr>
        <w:pStyle w:val="TextBody"/>
        <w:bidi w:val="0"/>
        <w:spacing w:lineRule="auto" w:line="288" w:before="120" w:after="120"/>
        <w:ind w:left="0" w:right="0" w:firstLine="360"/>
        <w:jc w:val="both"/>
        <w:rPr/>
      </w:pPr>
      <w:r>
        <w:rPr>
          <w:rFonts w:ascii="Times New Roman;serif" w:hAnsi="Times New Roman;serif"/>
          <w:b w:val="false"/>
          <w:color w:val="231F20"/>
          <w:sz w:val="20"/>
        </w:rPr>
        <w:t>In the normal course of business, the Company may agree to indemnify third parties with whom it enters into contractual</w:t>
      </w:r>
      <w:r>
        <w:rPr>
          <w:color w:val="231F20"/>
        </w:rPr>
        <w:t xml:space="preserve"> </w:t>
      </w:r>
      <w:r>
        <w:rPr>
          <w:rFonts w:ascii="Times New Roman;serif" w:hAnsi="Times New Roman;serif"/>
          <w:b w:val="false"/>
          <w:color w:val="231F20"/>
          <w:sz w:val="20"/>
        </w:rPr>
        <w:t>relationships,</w:t>
      </w:r>
      <w:r>
        <w:rPr>
          <w:color w:val="231F20"/>
        </w:rPr>
        <w:t xml:space="preserve"> </w:t>
      </w:r>
      <w:r>
        <w:rPr>
          <w:rFonts w:ascii="Times New Roman;serif" w:hAnsi="Times New Roman;serif"/>
          <w:b w:val="false"/>
          <w:color w:val="231F20"/>
          <w:sz w:val="20"/>
        </w:rPr>
        <w:t>including</w:t>
      </w:r>
      <w:r>
        <w:rPr>
          <w:color w:val="231F20"/>
        </w:rPr>
        <w:t xml:space="preserve"> </w:t>
      </w:r>
      <w:r>
        <w:rPr>
          <w:rFonts w:ascii="Times New Roman;serif" w:hAnsi="Times New Roman;serif"/>
          <w:b w:val="false"/>
          <w:color w:val="231F20"/>
          <w:sz w:val="20"/>
        </w:rPr>
        <w:t>customers,</w:t>
      </w:r>
      <w:r>
        <w:rPr>
          <w:color w:val="231F20"/>
        </w:rPr>
        <w:t xml:space="preserve"> </w:t>
      </w:r>
      <w:r>
        <w:rPr>
          <w:rFonts w:ascii="Times New Roman;serif" w:hAnsi="Times New Roman;serif"/>
          <w:b w:val="false"/>
          <w:color w:val="231F20"/>
          <w:sz w:val="20"/>
        </w:rPr>
        <w:t>lessors,</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parties</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other</w:t>
      </w:r>
      <w:r>
        <w:rPr>
          <w:color w:val="231F20"/>
        </w:rPr>
        <w:t xml:space="preserve"> </w:t>
      </w:r>
      <w:r>
        <w:rPr>
          <w:rFonts w:ascii="Times New Roman;serif" w:hAnsi="Times New Roman;serif"/>
          <w:b w:val="false"/>
          <w:color w:val="231F20"/>
          <w:sz w:val="20"/>
        </w:rPr>
        <w:t>transactions</w:t>
      </w:r>
      <w:r>
        <w:rPr>
          <w:color w:val="231F20"/>
        </w:rPr>
        <w:t xml:space="preserve"> </w:t>
      </w:r>
      <w:r>
        <w:rPr>
          <w:rFonts w:ascii="Times New Roman;serif" w:hAnsi="Times New Roman;serif"/>
          <w:b w:val="false"/>
          <w:color w:val="231F20"/>
          <w:sz w:val="20"/>
        </w:rPr>
        <w:t>with</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Company,</w:t>
      </w:r>
      <w:r>
        <w:rPr>
          <w:color w:val="231F20"/>
        </w:rPr>
        <w:t xml:space="preserve"> </w:t>
      </w:r>
      <w:r>
        <w:rPr>
          <w:rFonts w:ascii="Times New Roman;serif" w:hAnsi="Times New Roman;serif"/>
          <w:b w:val="false"/>
          <w:color w:val="231F20"/>
          <w:sz w:val="20"/>
        </w:rPr>
        <w:t>with respect</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certain</w:t>
      </w:r>
      <w:r>
        <w:rPr>
          <w:color w:val="231F20"/>
        </w:rPr>
        <w:t xml:space="preserve"> </w:t>
      </w:r>
      <w:r>
        <w:rPr>
          <w:rFonts w:ascii="Times New Roman;serif" w:hAnsi="Times New Roman;serif"/>
          <w:b w:val="false"/>
          <w:color w:val="231F20"/>
          <w:sz w:val="20"/>
        </w:rPr>
        <w:t>matters.</w:t>
      </w:r>
      <w:r>
        <w:rPr>
          <w:color w:val="231F20"/>
        </w:rPr>
        <w:t xml:space="preserve"> </w:t>
      </w:r>
      <w:r>
        <w:rPr>
          <w:rFonts w:ascii="Times New Roman;serif" w:hAnsi="Times New Roman;serif"/>
          <w:b w:val="false"/>
          <w:color w:val="231F20"/>
          <w:sz w:val="20"/>
        </w:rPr>
        <w:t>Pursuant</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these</w:t>
      </w:r>
      <w:r>
        <w:rPr>
          <w:color w:val="231F20"/>
        </w:rPr>
        <w:t xml:space="preserve"> </w:t>
      </w:r>
      <w:r>
        <w:rPr>
          <w:rFonts w:ascii="Times New Roman;serif" w:hAnsi="Times New Roman;serif"/>
          <w:b w:val="false"/>
          <w:color w:val="231F20"/>
          <w:sz w:val="20"/>
        </w:rPr>
        <w:t>arrangements,</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Company</w:t>
      </w:r>
      <w:r>
        <w:rPr>
          <w:color w:val="231F20"/>
        </w:rPr>
        <w:t xml:space="preserve"> </w:t>
      </w:r>
      <w:r>
        <w:rPr>
          <w:rFonts w:ascii="Times New Roman;serif" w:hAnsi="Times New Roman;serif"/>
          <w:b w:val="false"/>
          <w:color w:val="231F20"/>
          <w:sz w:val="20"/>
        </w:rPr>
        <w:t>indemnifies,</w:t>
      </w:r>
      <w:r>
        <w:rPr>
          <w:color w:val="231F20"/>
        </w:rPr>
        <w:t xml:space="preserve"> </w:t>
      </w:r>
      <w:r>
        <w:rPr>
          <w:rFonts w:ascii="Times New Roman;serif" w:hAnsi="Times New Roman;serif"/>
          <w:b w:val="false"/>
          <w:color w:val="231F20"/>
          <w:sz w:val="20"/>
        </w:rPr>
        <w:t>holds</w:t>
      </w:r>
      <w:r>
        <w:rPr>
          <w:color w:val="231F20"/>
        </w:rPr>
        <w:t xml:space="preserve"> </w:t>
      </w:r>
      <w:r>
        <w:rPr>
          <w:rFonts w:ascii="Times New Roman;serif" w:hAnsi="Times New Roman;serif"/>
          <w:b w:val="false"/>
          <w:color w:val="231F20"/>
          <w:sz w:val="20"/>
        </w:rPr>
        <w:t>harmless</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agrees to reimburse the indemnified parties for certain losses suffered or incurred by the indemnified party. It is not possible</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reasonably</w:t>
      </w:r>
      <w:r>
        <w:rPr>
          <w:color w:val="231F20"/>
        </w:rPr>
        <w:t xml:space="preserve"> </w:t>
      </w:r>
      <w:r>
        <w:rPr>
          <w:rFonts w:ascii="Times New Roman;serif" w:hAnsi="Times New Roman;serif"/>
          <w:b w:val="false"/>
          <w:color w:val="231F20"/>
          <w:sz w:val="20"/>
        </w:rPr>
        <w:t>estimate</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overall</w:t>
      </w:r>
      <w:r>
        <w:rPr>
          <w:color w:val="231F20"/>
        </w:rPr>
        <w:t xml:space="preserve"> </w:t>
      </w:r>
      <w:r>
        <w:rPr>
          <w:rFonts w:ascii="Times New Roman;serif" w:hAnsi="Times New Roman;serif"/>
          <w:b w:val="false"/>
          <w:color w:val="231F20"/>
          <w:sz w:val="20"/>
        </w:rPr>
        <w:t>maximum</w:t>
      </w:r>
      <w:r>
        <w:rPr>
          <w:color w:val="231F20"/>
        </w:rPr>
        <w:t xml:space="preserve"> </w:t>
      </w:r>
      <w:r>
        <w:rPr>
          <w:rFonts w:ascii="Times New Roman;serif" w:hAnsi="Times New Roman;serif"/>
          <w:b w:val="false"/>
          <w:color w:val="231F20"/>
          <w:sz w:val="20"/>
        </w:rPr>
        <w:t>amount</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these</w:t>
      </w:r>
      <w:r>
        <w:rPr>
          <w:color w:val="231F20"/>
        </w:rPr>
        <w:t xml:space="preserve"> </w:t>
      </w:r>
      <w:r>
        <w:rPr>
          <w:rFonts w:ascii="Times New Roman;serif" w:hAnsi="Times New Roman;serif"/>
          <w:b w:val="false"/>
          <w:color w:val="231F20"/>
          <w:sz w:val="20"/>
        </w:rPr>
        <w:t>indemnification</w:t>
      </w:r>
      <w:r>
        <w:rPr>
          <w:color w:val="231F20"/>
        </w:rPr>
        <w:t xml:space="preserve"> </w:t>
      </w:r>
      <w:r>
        <w:rPr>
          <w:rFonts w:ascii="Times New Roman;serif" w:hAnsi="Times New Roman;serif"/>
          <w:b w:val="false"/>
          <w:color w:val="231F20"/>
          <w:sz w:val="20"/>
        </w:rPr>
        <w:t>obligations.</w:t>
      </w:r>
      <w:r>
        <w:rPr>
          <w:color w:val="231F20"/>
        </w:rPr>
        <w:t xml:space="preserve"> </w:t>
      </w:r>
      <w:r>
        <w:rPr>
          <w:rFonts w:ascii="Times New Roman;serif" w:hAnsi="Times New Roman;serif"/>
          <w:b w:val="false"/>
          <w:color w:val="231F20"/>
          <w:sz w:val="20"/>
        </w:rPr>
        <w:t>Historically, the</w:t>
      </w:r>
      <w:r>
        <w:rPr>
          <w:color w:val="231F20"/>
        </w:rPr>
        <w:t xml:space="preserve"> </w:t>
      </w:r>
      <w:r>
        <w:rPr>
          <w:rFonts w:ascii="Times New Roman;serif" w:hAnsi="Times New Roman;serif"/>
          <w:b w:val="false"/>
          <w:color w:val="231F20"/>
          <w:sz w:val="20"/>
        </w:rPr>
        <w:t>Company</w:t>
      </w:r>
      <w:r>
        <w:rPr>
          <w:color w:val="231F20"/>
        </w:rPr>
        <w:t xml:space="preserve"> </w:t>
      </w:r>
      <w:r>
        <w:rPr>
          <w:rFonts w:ascii="Times New Roman;serif" w:hAnsi="Times New Roman;serif"/>
          <w:b w:val="false"/>
          <w:color w:val="231F20"/>
          <w:sz w:val="20"/>
        </w:rPr>
        <w:t>has</w:t>
      </w:r>
      <w:r>
        <w:rPr>
          <w:color w:val="231F20"/>
        </w:rPr>
        <w:t xml:space="preserve"> </w:t>
      </w:r>
      <w:r>
        <w:rPr>
          <w:rFonts w:ascii="Times New Roman;serif" w:hAnsi="Times New Roman;serif"/>
          <w:b w:val="false"/>
          <w:color w:val="231F20"/>
          <w:sz w:val="20"/>
        </w:rPr>
        <w:t>not been</w:t>
      </w:r>
      <w:r>
        <w:rPr>
          <w:color w:val="231F20"/>
        </w:rPr>
        <w:t xml:space="preserve"> </w:t>
      </w:r>
      <w:r>
        <w:rPr>
          <w:rFonts w:ascii="Times New Roman;serif" w:hAnsi="Times New Roman;serif"/>
          <w:b w:val="false"/>
          <w:color w:val="231F20"/>
          <w:sz w:val="20"/>
        </w:rPr>
        <w:t>required</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make</w:t>
      </w:r>
      <w:r>
        <w:rPr>
          <w:color w:val="231F20"/>
        </w:rPr>
        <w:t xml:space="preserve"> </w:t>
      </w:r>
      <w:r>
        <w:rPr>
          <w:rFonts w:ascii="Times New Roman;serif" w:hAnsi="Times New Roman;serif"/>
          <w:b w:val="false"/>
          <w:color w:val="231F20"/>
          <w:sz w:val="20"/>
        </w:rPr>
        <w:t>payments</w:t>
      </w:r>
      <w:r>
        <w:rPr>
          <w:color w:val="231F20"/>
        </w:rPr>
        <w:t xml:space="preserve"> </w:t>
      </w:r>
      <w:r>
        <w:rPr>
          <w:rFonts w:ascii="Times New Roman;serif" w:hAnsi="Times New Roman;serif"/>
          <w:b w:val="false"/>
          <w:color w:val="231F20"/>
          <w:sz w:val="20"/>
        </w:rPr>
        <w:t>under</w:t>
      </w:r>
      <w:r>
        <w:rPr>
          <w:color w:val="231F20"/>
        </w:rPr>
        <w:t xml:space="preserve"> </w:t>
      </w:r>
      <w:r>
        <w:rPr>
          <w:rFonts w:ascii="Times New Roman;serif" w:hAnsi="Times New Roman;serif"/>
          <w:b w:val="false"/>
          <w:color w:val="231F20"/>
          <w:sz w:val="20"/>
        </w:rPr>
        <w:t>these</w:t>
      </w:r>
      <w:r>
        <w:rPr>
          <w:color w:val="231F20"/>
        </w:rPr>
        <w:t xml:space="preserve"> </w:t>
      </w:r>
      <w:r>
        <w:rPr>
          <w:rFonts w:ascii="Times New Roman;serif" w:hAnsi="Times New Roman;serif"/>
          <w:b w:val="false"/>
          <w:color w:val="231F20"/>
          <w:sz w:val="20"/>
        </w:rPr>
        <w:t>obligations</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therefore,</w:t>
      </w:r>
      <w:r>
        <w:rPr>
          <w:color w:val="231F20"/>
        </w:rPr>
        <w:t xml:space="preserve"> </w:t>
      </w:r>
      <w:r>
        <w:rPr>
          <w:rFonts w:ascii="Times New Roman;serif" w:hAnsi="Times New Roman;serif"/>
          <w:b w:val="false"/>
          <w:color w:val="231F20"/>
          <w:sz w:val="20"/>
        </w:rPr>
        <w:t>no</w:t>
      </w:r>
      <w:r>
        <w:rPr>
          <w:color w:val="231F20"/>
        </w:rPr>
        <w:t xml:space="preserve"> </w:t>
      </w:r>
      <w:r>
        <w:rPr>
          <w:rFonts w:ascii="Times New Roman;serif" w:hAnsi="Times New Roman;serif"/>
          <w:b w:val="false"/>
          <w:color w:val="231F20"/>
          <w:sz w:val="20"/>
        </w:rPr>
        <w:t>liabilities</w:t>
      </w:r>
      <w:r>
        <w:rPr>
          <w:color w:val="231F20"/>
        </w:rPr>
        <w:t xml:space="preserve"> </w:t>
      </w:r>
      <w:r>
        <w:rPr>
          <w:rFonts w:ascii="Times New Roman;serif" w:hAnsi="Times New Roman;serif"/>
          <w:b w:val="false"/>
          <w:color w:val="231F20"/>
          <w:sz w:val="20"/>
        </w:rPr>
        <w:t>have been recorded for these obligations in the Company’s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16840"/>
                <wp:effectExtent l="0" t="0" r="0" b="0"/>
                <wp:wrapNone/>
                <wp:docPr id="49" name="Frame4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38</w:t>
                      </w:r>
                    </w:p>
                  </w:txbxContent>
                </v:textbox>
                <w10:wrap type="none"/>
              </v:rect>
            </w:pict>
          </mc:Fallback>
        </mc:AlternateContent>
      </w:r>
    </w:p>
    <w:p>
      <w:pPr>
        <w:pStyle w:val="TextBody"/>
        <w:bidi w:val="0"/>
        <w:spacing w:lineRule="auto" w:line="288" w:before="0" w:after="0"/>
        <w:ind w:left="0" w:right="0" w:hanging="117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pPr>
      <w:r>
        <w:rPr>
          <w:rFonts w:ascii="Times New Roman;serif" w:hAnsi="Times New Roman;serif"/>
          <w:b/>
          <w:color w:val="231F20"/>
          <w:sz w:val="20"/>
        </w:rPr>
        <w:t>XANADU</w:t>
      </w:r>
      <w:r>
        <w:rPr>
          <w:color w:val="231F20"/>
        </w:rPr>
        <w:t xml:space="preserve"> </w:t>
      </w:r>
      <w:r>
        <w:rPr>
          <w:rFonts w:ascii="Times New Roman;serif" w:hAnsi="Times New Roman;serif"/>
          <w:b/>
          <w:color w:val="231F20"/>
          <w:sz w:val="20"/>
        </w:rPr>
        <w:t>QUANTUM</w:t>
      </w:r>
      <w:r>
        <w:rPr>
          <w:color w:val="231F20"/>
        </w:rPr>
        <w:t xml:space="preserve"> </w:t>
      </w:r>
      <w:r>
        <w:rPr>
          <w:rFonts w:ascii="Times New Roman;serif" w:hAnsi="Times New Roman;serif"/>
          <w:b/>
          <w:color w:val="231F20"/>
          <w:sz w:val="20"/>
        </w:rPr>
        <w:t>TECHNOLOGIES LIMITED</w:t>
      </w:r>
    </w:p>
    <w:p>
      <w:pPr>
        <w:pStyle w:val="TextBody"/>
        <w:bidi w:val="0"/>
        <w:spacing w:lineRule="auto" w:line="288" w:before="0" w:after="0"/>
        <w:jc w:val="center"/>
        <w:rPr/>
      </w:pPr>
      <w:r>
        <w:rPr>
          <w:rFonts w:ascii="Times New Roman;serif" w:hAnsi="Times New Roman;serif"/>
          <w:b/>
          <w:color w:val="231F20"/>
          <w:sz w:val="20"/>
        </w:rPr>
        <w:t>Notes</w:t>
      </w:r>
      <w:r>
        <w:rPr>
          <w:color w:val="231F20"/>
        </w:rPr>
        <w:t xml:space="preserve"> </w:t>
      </w:r>
      <w:r>
        <w:rPr>
          <w:rFonts w:ascii="Times New Roman;serif" w:hAnsi="Times New Roman;serif"/>
          <w:b/>
          <w:color w:val="231F20"/>
          <w:sz w:val="20"/>
        </w:rPr>
        <w:t>to</w:t>
      </w:r>
      <w:r>
        <w:rPr>
          <w:color w:val="231F20"/>
        </w:rPr>
        <w:t xml:space="preserve"> </w:t>
      </w:r>
      <w:r>
        <w:rPr>
          <w:rFonts w:ascii="Times New Roman;serif" w:hAnsi="Times New Roman;serif"/>
          <w:b/>
          <w:color w:val="231F20"/>
          <w:sz w:val="20"/>
        </w:rPr>
        <w:t>the</w:t>
      </w:r>
      <w:r>
        <w:rPr>
          <w:color w:val="231F20"/>
        </w:rPr>
        <w:t xml:space="preserve"> </w:t>
      </w:r>
      <w:r>
        <w:rPr>
          <w:rFonts w:ascii="Times New Roman;serif" w:hAnsi="Times New Roman;serif"/>
          <w:b/>
          <w:color w:val="231F20"/>
          <w:sz w:val="20"/>
        </w:rPr>
        <w:t>Condensed</w:t>
      </w:r>
      <w:r>
        <w:rPr>
          <w:color w:val="231F20"/>
        </w:rPr>
        <w:t xml:space="preserve"> </w:t>
      </w:r>
      <w:r>
        <w:rPr>
          <w:rFonts w:ascii="Times New Roman;serif" w:hAnsi="Times New Roman;serif"/>
          <w:b/>
          <w:color w:val="231F20"/>
          <w:sz w:val="20"/>
        </w:rPr>
        <w:t>Consolidated</w:t>
      </w:r>
      <w:r>
        <w:rPr>
          <w:color w:val="231F20"/>
        </w:rPr>
        <w:t xml:space="preserve"> </w:t>
      </w:r>
      <w:r>
        <w:rPr>
          <w:rFonts w:ascii="Times New Roman;serif" w:hAnsi="Times New Roman;serif"/>
          <w:b/>
          <w:color w:val="231F20"/>
          <w:sz w:val="20"/>
        </w:rPr>
        <w:t>Financial</w:t>
      </w:r>
      <w:r>
        <w:rPr>
          <w:color w:val="231F20"/>
        </w:rPr>
        <w:t xml:space="preserve"> </w:t>
      </w:r>
      <w:r>
        <w:rPr>
          <w:rFonts w:ascii="Times New Roman;serif" w:hAnsi="Times New Roman;serif"/>
          <w:b/>
          <w:color w:val="231F20"/>
          <w:sz w:val="20"/>
        </w:rPr>
        <w:t xml:space="preserve">Statements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 except for share and per share amounts, ratios or as otherwise noted)</w:t>
      </w:r>
    </w:p>
    <w:p>
      <w:pPr>
        <w:pStyle w:val="TextBody"/>
        <w:bidi w:val="0"/>
        <w:spacing w:before="0" w:after="0"/>
        <w:jc w:val="center"/>
        <w:rPr/>
      </w:pPr>
      <w:r>
        <w:rPr/>
      </w:r>
    </w:p>
    <w:p>
      <w:pPr>
        <w:pStyle w:val="TextBody"/>
        <w:bidi w:val="0"/>
        <w:spacing w:lineRule="auto" w:line="288" w:before="0" w:after="160"/>
        <w:ind w:left="0" w:right="0" w:firstLine="360"/>
        <w:jc w:val="both"/>
        <w:rPr/>
      </w:pPr>
      <w:r>
        <w:rPr>
          <w:rFonts w:ascii="Times New Roman;serif" w:hAnsi="Times New Roman;serif"/>
          <w:b w:val="false"/>
          <w:color w:val="231F20"/>
          <w:sz w:val="20"/>
        </w:rPr>
        <w:t xml:space="preserve">As of June 30, 2026 and December 31, </w:t>
      </w:r>
      <w:r>
        <w:rPr>
          <w:rFonts w:ascii="Times New Roman;serif" w:hAnsi="Times New Roman;serif"/>
          <w:b w:val="false"/>
          <w:color w:val="000000"/>
          <w:sz w:val="20"/>
        </w:rPr>
        <w:t>2025</w:t>
      </w:r>
      <w:r>
        <w:rPr>
          <w:rFonts w:ascii="Times New Roman;serif" w:hAnsi="Times New Roman;serif"/>
          <w:b w:val="false"/>
          <w:color w:val="231F20"/>
          <w:sz w:val="20"/>
        </w:rPr>
        <w:t>, the Company was not subject to any material litigation or material pending litigation claims.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hanging="480"/>
        <w:jc w:val="left"/>
        <w:rPr>
          <w:rFonts w:ascii="Times New Roman;serif" w:hAnsi="Times New Roman;serif"/>
          <w:b/>
          <w:color w:val="231F20"/>
          <w:sz w:val="20"/>
        </w:rPr>
      </w:pPr>
      <w:r>
        <w:rPr>
          <w:rFonts w:ascii="Times New Roman;serif" w:hAnsi="Times New Roman;serif"/>
          <w:b/>
          <w:color w:val="231F20"/>
          <w:sz w:val="20"/>
        </w:rPr>
        <w:t>Note 17 - Net Loss Per Share:</w:t>
      </w:r>
    </w:p>
    <w:p>
      <w:pPr>
        <w:pStyle w:val="TextBody"/>
        <w:bidi w:val="0"/>
        <w:spacing w:lineRule="auto" w:line="288" w:before="0" w:after="160"/>
        <w:ind w:left="0" w:right="0" w:firstLine="360"/>
        <w:jc w:val="both"/>
        <w:rPr/>
      </w:pPr>
      <w:r>
        <w:rPr>
          <w:rFonts w:ascii="Times New Roman;serif" w:hAnsi="Times New Roman;serif"/>
          <w:b w:val="false"/>
          <w:color w:val="231F20"/>
          <w:sz w:val="20"/>
        </w:rPr>
        <w:t>The following table presents the computation of basic and diluted net loss per share attributable to common</w:t>
      </w:r>
      <w:r>
        <w:rPr>
          <w:color w:val="231F20"/>
        </w:rPr>
        <w:t xml:space="preserve"> </w:t>
      </w:r>
      <w:r>
        <w:rPr>
          <w:rFonts w:ascii="Times New Roman;serif" w:hAnsi="Times New Roman;serif"/>
          <w:b w:val="false"/>
          <w:color w:val="231F20"/>
          <w:sz w:val="20"/>
        </w:rPr>
        <w:t>shareholders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712"/>
        <w:gridCol w:w="1486"/>
        <w:gridCol w:w="1502"/>
        <w:gridCol w:w="227"/>
        <w:gridCol w:w="795"/>
        <w:gridCol w:w="119"/>
        <w:gridCol w:w="109"/>
        <w:gridCol w:w="109"/>
        <w:gridCol w:w="109"/>
        <w:gridCol w:w="211"/>
        <w:gridCol w:w="776"/>
        <w:gridCol w:w="109"/>
        <w:gridCol w:w="109"/>
        <w:gridCol w:w="109"/>
        <w:gridCol w:w="109"/>
        <w:gridCol w:w="227"/>
        <w:gridCol w:w="795"/>
        <w:gridCol w:w="119"/>
        <w:gridCol w:w="109"/>
        <w:gridCol w:w="109"/>
        <w:gridCol w:w="109"/>
        <w:gridCol w:w="211"/>
        <w:gridCol w:w="776"/>
        <w:gridCol w:w="159"/>
      </w:tblGrid>
      <w:tr>
        <w:trPr/>
        <w:tc>
          <w:tcPr>
            <w:tcW w:w="1712"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 xml:space="preserve">Six months ended </w:t>
              <w:br/>
              <w:t>June 30,</w:t>
            </w:r>
          </w:p>
        </w:tc>
      </w:tr>
      <w:tr>
        <w:trPr/>
        <w:tc>
          <w:tcPr>
            <w:tcW w:w="4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2026</w:t>
            </w:r>
          </w:p>
        </w:tc>
        <w:tc>
          <w:tcPr>
            <w:tcW w:w="327" w:type="dxa"/>
            <w:gridSpan w:val="3"/>
            <w:tcBorders>
              <w:top w:val="single" w:sz="4"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231F20"/>
                <w:sz w:val="18"/>
              </w:rPr>
              <w:t xml:space="preserve">2025 </w:t>
            </w:r>
            <w:r>
              <w:rPr>
                <w:rFonts w:ascii="Times New Roman;serif" w:hAnsi="Times New Roman;serif"/>
                <w:b/>
                <w:color w:val="231F2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2026</w:t>
            </w:r>
          </w:p>
        </w:tc>
        <w:tc>
          <w:tcPr>
            <w:tcW w:w="327" w:type="dxa"/>
            <w:gridSpan w:val="3"/>
            <w:tcBorders>
              <w:top w:val="single" w:sz="4"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231F20"/>
                <w:sz w:val="18"/>
              </w:rPr>
              <w:t xml:space="preserve">2025 </w:t>
            </w:r>
            <w:r>
              <w:rPr>
                <w:rFonts w:ascii="Times New Roman;serif" w:hAnsi="Times New Roman;serif"/>
                <w:b/>
                <w:color w:val="231F20"/>
                <w:sz w:val="12"/>
              </w:rPr>
              <w:t>(1)</w:t>
            </w:r>
          </w:p>
        </w:tc>
      </w:tr>
      <w:tr>
        <w:trPr/>
        <w:tc>
          <w:tcPr>
            <w:tcW w:w="470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Numerator:</w:t>
            </w:r>
          </w:p>
        </w:tc>
        <w:tc>
          <w:tcPr>
            <w:tcW w:w="1141" w:type="dxa"/>
            <w:gridSpan w:val="3"/>
            <w:tcBorders>
              <w:top w:val="single" w:sz="4"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231F20"/>
            </w:tcBorders>
            <w:shd w:fill="CCEDFF" w:val="clear"/>
            <w:tcMar>
              <w:left w:w="0" w:type="dxa"/>
              <w:bottom w:w="0" w:type="dxa"/>
              <w:right w:w="0" w:type="dxa"/>
            </w:tcMar>
            <w:vAlign w:val="center"/>
          </w:tcPr>
          <w:p>
            <w:pPr>
              <w:pStyle w:val="TableContents"/>
              <w:bidi w:val="0"/>
              <w:spacing w:before="0" w:after="0"/>
              <w:jc w:val="left"/>
              <w:rPr/>
            </w:pPr>
            <w:r>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DFF" w:val="clear"/>
            <w:tcMar>
              <w:left w:w="0" w:type="dxa"/>
              <w:bottom w:w="0" w:type="dxa"/>
              <w:right w:w="0" w:type="dxa"/>
            </w:tcMar>
            <w:vAlign w:val="center"/>
          </w:tcPr>
          <w:p>
            <w:pPr>
              <w:pStyle w:val="TableContents"/>
              <w:bidi w:val="0"/>
              <w:spacing w:before="0" w:after="0"/>
              <w:jc w:val="left"/>
              <w:rPr/>
            </w:pPr>
            <w:r>
              <w:rPr/>
            </w:r>
          </w:p>
        </w:tc>
      </w:tr>
      <w:tr>
        <w:trPr/>
        <w:tc>
          <w:tcPr>
            <w:tcW w:w="4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Net loss attributable to common shareholders, basic and diluted</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(42,051)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(62,655)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(27,345)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Denominator:</w:t>
            </w:r>
          </w:p>
        </w:tc>
        <w:tc>
          <w:tcPr>
            <w:tcW w:w="114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Weighted average common shares outstanding</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299,964,510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55,786,865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186,551,397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55,718,926</w:t>
            </w:r>
          </w:p>
        </w:tc>
      </w:tr>
      <w:tr>
        <w:trPr/>
        <w:tc>
          <w:tcPr>
            <w:tcW w:w="4700" w:type="dxa"/>
            <w:gridSpan w:val="3"/>
            <w:tcBorders/>
            <w:shd w:fill="CCEDFF" w:val="clear"/>
            <w:tcMar>
              <w:top w:w="0" w:type="dxa"/>
              <w:left w:w="0" w:type="dxa"/>
              <w:bottom w:w="0" w:type="dxa"/>
              <w:right w:w="0" w:type="dxa"/>
            </w:tcMar>
            <w:vAlign w:val="center"/>
          </w:tcPr>
          <w:p>
            <w:pPr>
              <w:pStyle w:val="TableContents"/>
              <w:bidi w:val="0"/>
              <w:spacing w:lineRule="atLeast" w:line="210" w:before="0" w:after="283"/>
              <w:jc w:val="left"/>
              <w:rPr>
                <w:rFonts w:ascii="Times New Roman;serif" w:hAnsi="Times New Roman;serif"/>
                <w:b/>
                <w:color w:val="231F20"/>
                <w:sz w:val="20"/>
              </w:rPr>
            </w:pPr>
            <w:r>
              <w:rPr>
                <w:rFonts w:ascii="Times New Roman;serif" w:hAnsi="Times New Roman;serif"/>
                <w:b/>
                <w:color w:val="231F20"/>
                <w:sz w:val="20"/>
              </w:rPr>
              <w:t>Net loss per share attributable to common shareholders, basic and diluted</w:t>
            </w:r>
          </w:p>
        </w:tc>
        <w:tc>
          <w:tcPr>
            <w:tcW w:w="227"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795"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231F20"/>
                <w:sz w:val="20"/>
              </w:rPr>
            </w:pPr>
            <w:r>
              <w:rPr>
                <w:rFonts w:ascii="Times New Roman;serif" w:hAnsi="Times New Roman;serif"/>
                <w:b/>
                <w:color w:val="231F20"/>
                <w:sz w:val="20"/>
              </w:rPr>
              <w:t>(0.14)</w:t>
            </w:r>
          </w:p>
        </w:tc>
        <w:tc>
          <w:tcPr>
            <w:tcW w:w="119"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776"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231F20"/>
                <w:sz w:val="20"/>
              </w:rPr>
            </w:pPr>
            <w:r>
              <w:rPr>
                <w:rFonts w:ascii="Times New Roman;serif" w:hAnsi="Times New Roman;serif"/>
                <w:b/>
                <w:color w:val="231F20"/>
                <w:sz w:val="20"/>
              </w:rPr>
              <w:t>(0.27)</w:t>
            </w:r>
          </w:p>
        </w:tc>
        <w:tc>
          <w:tcPr>
            <w:tcW w:w="109"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795"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231F20"/>
                <w:sz w:val="20"/>
              </w:rPr>
            </w:pPr>
            <w:r>
              <w:rPr>
                <w:rFonts w:ascii="Times New Roman;serif" w:hAnsi="Times New Roman;serif"/>
                <w:b/>
                <w:color w:val="231F20"/>
                <w:sz w:val="20"/>
              </w:rPr>
              <w:t>(0.34)</w:t>
            </w:r>
          </w:p>
        </w:tc>
        <w:tc>
          <w:tcPr>
            <w:tcW w:w="119"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776"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231F20"/>
                <w:sz w:val="20"/>
              </w:rPr>
            </w:pPr>
            <w:r>
              <w:rPr>
                <w:rFonts w:ascii="Times New Roman;serif" w:hAnsi="Times New Roman;serif"/>
                <w:b/>
                <w:color w:val="231F20"/>
                <w:sz w:val="20"/>
              </w:rPr>
              <w:t>(0.49)</w:t>
            </w:r>
          </w:p>
        </w:tc>
        <w:tc>
          <w:tcPr>
            <w:tcW w:w="159"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60"/>
        <w:ind w:left="0" w:right="0" w:firstLine="360"/>
        <w:jc w:val="left"/>
        <w:rPr/>
      </w:pPr>
      <w:r>
        <w:rPr>
          <w:rFonts w:ascii="Times New Roman;serif" w:hAnsi="Times New Roman;serif"/>
          <w:b w:val="false"/>
          <w:color w:val="231F20"/>
          <w:sz w:val="14"/>
        </w:rPr>
        <w:t xml:space="preserve">(1) </w:t>
      </w:r>
      <w:r>
        <w:rPr>
          <w:rFonts w:ascii="Times New Roman;serif" w:hAnsi="Times New Roman;serif"/>
          <w:b w:val="false"/>
          <w:color w:val="231F20"/>
          <w:sz w:val="20"/>
        </w:rPr>
        <w:t xml:space="preserve">Net loss per share has been recast to </w:t>
      </w:r>
      <w:r>
        <w:rPr>
          <w:rFonts w:ascii="Times New Roman;serif" w:hAnsi="Times New Roman;serif"/>
          <w:b w:val="false"/>
          <w:color w:val="000000"/>
          <w:sz w:val="20"/>
        </w:rPr>
        <w:t xml:space="preserve">reflect the exchange of the Company's convertible preferred shares and common shares and the equivalent number of shares reflecting the Exchange Ratio established in the Reverse Recapitalization. Refer to Note 3 for additional information. </w:t>
      </w:r>
    </w:p>
    <w:p>
      <w:pPr>
        <w:pStyle w:val="TextBody"/>
        <w:bidi w:val="0"/>
        <w:spacing w:lineRule="auto" w:line="288" w:before="120" w:after="120"/>
        <w:ind w:left="0" w:right="0" w:firstLine="360"/>
        <w:jc w:val="left"/>
        <w:rPr/>
      </w:pP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Company</w:t>
      </w:r>
      <w:r>
        <w:rPr>
          <w:color w:val="231F20"/>
        </w:rPr>
        <w:t xml:space="preserve"> </w:t>
      </w:r>
      <w:r>
        <w:rPr>
          <w:rFonts w:ascii="Times New Roman;serif" w:hAnsi="Times New Roman;serif"/>
          <w:b w:val="false"/>
          <w:color w:val="231F20"/>
          <w:sz w:val="20"/>
        </w:rPr>
        <w:t>has two classes</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common</w:t>
      </w:r>
      <w:r>
        <w:rPr>
          <w:color w:val="231F20"/>
        </w:rPr>
        <w:t xml:space="preserve"> </w:t>
      </w:r>
      <w:r>
        <w:rPr>
          <w:rFonts w:ascii="Times New Roman;serif" w:hAnsi="Times New Roman;serif"/>
          <w:b w:val="false"/>
          <w:color w:val="231F20"/>
          <w:sz w:val="20"/>
        </w:rPr>
        <w:t>shares, Xanadu Class A Multiple Voting Shares and Xanadu Class B Subordinate Voting Shares. These shares rank pari passu with respect to participation rights to dividends, liquidation preferences, and therefore,</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calculation</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net loss per share as described above is identical to the calculation under the two-class method.</w:t>
      </w:r>
    </w:p>
    <w:p>
      <w:pPr>
        <w:pStyle w:val="TextBody"/>
        <w:bidi w:val="0"/>
        <w:spacing w:lineRule="auto" w:line="288" w:before="120" w:after="120"/>
        <w:ind w:left="0" w:right="0" w:firstLine="360"/>
        <w:jc w:val="both"/>
        <w:rPr/>
      </w:pPr>
      <w:r>
        <w:rPr>
          <w:rFonts w:ascii="Times New Roman;serif" w:hAnsi="Times New Roman;serif"/>
          <w:b w:val="false"/>
          <w:color w:val="231F20"/>
          <w:sz w:val="20"/>
        </w:rPr>
        <w:t>Since</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Company</w:t>
      </w:r>
      <w:r>
        <w:rPr>
          <w:color w:val="231F20"/>
        </w:rPr>
        <w:t xml:space="preserve"> </w:t>
      </w:r>
      <w:r>
        <w:rPr>
          <w:rFonts w:ascii="Times New Roman;serif" w:hAnsi="Times New Roman;serif"/>
          <w:b w:val="false"/>
          <w:color w:val="231F20"/>
          <w:sz w:val="20"/>
        </w:rPr>
        <w:t>was</w:t>
      </w:r>
      <w:r>
        <w:rPr>
          <w:color w:val="231F20"/>
        </w:rPr>
        <w:t xml:space="preserve"> </w:t>
      </w:r>
      <w:r>
        <w:rPr>
          <w:rFonts w:ascii="Times New Roman;serif" w:hAnsi="Times New Roman;serif"/>
          <w:b w:val="false"/>
          <w:color w:val="231F20"/>
          <w:sz w:val="20"/>
        </w:rPr>
        <w:t>in</w:t>
      </w:r>
      <w:r>
        <w:rPr>
          <w:color w:val="231F20"/>
        </w:rPr>
        <w:t xml:space="preserve"> </w:t>
      </w:r>
      <w:r>
        <w:rPr>
          <w:rFonts w:ascii="Times New Roman;serif" w:hAnsi="Times New Roman;serif"/>
          <w:b w:val="false"/>
          <w:color w:val="231F20"/>
          <w:sz w:val="20"/>
        </w:rPr>
        <w:t>a</w:t>
      </w:r>
      <w:r>
        <w:rPr>
          <w:color w:val="231F20"/>
        </w:rPr>
        <w:t xml:space="preserve"> </w:t>
      </w:r>
      <w:r>
        <w:rPr>
          <w:rFonts w:ascii="Times New Roman;serif" w:hAnsi="Times New Roman;serif"/>
          <w:b w:val="false"/>
          <w:color w:val="231F20"/>
          <w:sz w:val="20"/>
        </w:rPr>
        <w:t>loss</w:t>
      </w:r>
      <w:r>
        <w:rPr>
          <w:color w:val="231F20"/>
        </w:rPr>
        <w:t xml:space="preserve"> </w:t>
      </w:r>
      <w:r>
        <w:rPr>
          <w:rFonts w:ascii="Times New Roman;serif" w:hAnsi="Times New Roman;serif"/>
          <w:b w:val="false"/>
          <w:color w:val="231F20"/>
          <w:sz w:val="20"/>
        </w:rPr>
        <w:t>position</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all</w:t>
      </w:r>
      <w:r>
        <w:rPr>
          <w:color w:val="231F20"/>
        </w:rPr>
        <w:t xml:space="preserve"> </w:t>
      </w:r>
      <w:r>
        <w:rPr>
          <w:rFonts w:ascii="Times New Roman;serif" w:hAnsi="Times New Roman;serif"/>
          <w:b w:val="false"/>
          <w:color w:val="231F20"/>
          <w:sz w:val="20"/>
        </w:rPr>
        <w:t>periods</w:t>
      </w:r>
      <w:r>
        <w:rPr>
          <w:color w:val="231F20"/>
        </w:rPr>
        <w:t xml:space="preserve"> </w:t>
      </w:r>
      <w:r>
        <w:rPr>
          <w:rFonts w:ascii="Times New Roman;serif" w:hAnsi="Times New Roman;serif"/>
          <w:b w:val="false"/>
          <w:color w:val="231F20"/>
          <w:sz w:val="20"/>
        </w:rPr>
        <w:t>presented,</w:t>
      </w:r>
      <w:r>
        <w:rPr>
          <w:color w:val="231F20"/>
        </w:rPr>
        <w:t xml:space="preserve"> </w:t>
      </w:r>
      <w:r>
        <w:rPr>
          <w:rFonts w:ascii="Times New Roman;serif" w:hAnsi="Times New Roman;serif"/>
          <w:b w:val="false"/>
          <w:color w:val="231F20"/>
          <w:sz w:val="20"/>
        </w:rPr>
        <w:t>basic</w:t>
      </w:r>
      <w:r>
        <w:rPr>
          <w:color w:val="231F20"/>
        </w:rPr>
        <w:t xml:space="preserve"> </w:t>
      </w:r>
      <w:r>
        <w:rPr>
          <w:rFonts w:ascii="Times New Roman;serif" w:hAnsi="Times New Roman;serif"/>
          <w:b w:val="false"/>
          <w:color w:val="231F20"/>
          <w:sz w:val="20"/>
        </w:rPr>
        <w:t>net</w:t>
      </w:r>
      <w:r>
        <w:rPr>
          <w:color w:val="231F20"/>
        </w:rPr>
        <w:t xml:space="preserve"> </w:t>
      </w:r>
      <w:r>
        <w:rPr>
          <w:rFonts w:ascii="Times New Roman;serif" w:hAnsi="Times New Roman;serif"/>
          <w:b w:val="false"/>
          <w:color w:val="231F20"/>
          <w:sz w:val="20"/>
        </w:rPr>
        <w:t>loss</w:t>
      </w:r>
      <w:r>
        <w:rPr>
          <w:color w:val="231F20"/>
        </w:rPr>
        <w:t xml:space="preserve"> </w:t>
      </w:r>
      <w:r>
        <w:rPr>
          <w:rFonts w:ascii="Times New Roman;serif" w:hAnsi="Times New Roman;serif"/>
          <w:b w:val="false"/>
          <w:color w:val="231F20"/>
          <w:sz w:val="20"/>
        </w:rPr>
        <w:t>per</w:t>
      </w:r>
      <w:r>
        <w:rPr>
          <w:color w:val="231F20"/>
        </w:rPr>
        <w:t xml:space="preserve"> </w:t>
      </w:r>
      <w:r>
        <w:rPr>
          <w:rFonts w:ascii="Times New Roman;serif" w:hAnsi="Times New Roman;serif"/>
          <w:b w:val="false"/>
          <w:color w:val="231F20"/>
          <w:sz w:val="20"/>
        </w:rPr>
        <w:t>share</w:t>
      </w:r>
      <w:r>
        <w:rPr>
          <w:color w:val="231F20"/>
        </w:rPr>
        <w:t xml:space="preserve"> </w:t>
      </w:r>
      <w:r>
        <w:rPr>
          <w:rFonts w:ascii="Times New Roman;serif" w:hAnsi="Times New Roman;serif"/>
          <w:b w:val="false"/>
          <w:color w:val="231F20"/>
          <w:sz w:val="20"/>
        </w:rPr>
        <w:t>is</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same</w:t>
      </w:r>
      <w:r>
        <w:rPr>
          <w:color w:val="231F20"/>
        </w:rPr>
        <w:t xml:space="preserve"> </w:t>
      </w:r>
      <w:r>
        <w:rPr>
          <w:rFonts w:ascii="Times New Roman;serif" w:hAnsi="Times New Roman;serif"/>
          <w:b w:val="false"/>
          <w:color w:val="231F20"/>
          <w:sz w:val="20"/>
        </w:rPr>
        <w:t>as</w:t>
      </w:r>
      <w:r>
        <w:rPr>
          <w:color w:val="231F20"/>
        </w:rPr>
        <w:t xml:space="preserve"> </w:t>
      </w:r>
      <w:r>
        <w:rPr>
          <w:rFonts w:ascii="Times New Roman;serif" w:hAnsi="Times New Roman;serif"/>
          <w:b w:val="false"/>
          <w:color w:val="231F20"/>
          <w:sz w:val="20"/>
        </w:rPr>
        <w:t>diluted net loss per share for all periods as the inclusion of all potential common shares outstanding would have been anti-dilutive.</w:t>
      </w:r>
    </w:p>
    <w:p>
      <w:pPr>
        <w:pStyle w:val="TextBody"/>
        <w:bidi w:val="0"/>
        <w:spacing w:lineRule="auto" w:line="288" w:before="120" w:after="12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Potentially dilutive securities (upon conversion) that were not included in the diluted per share calculations because they would be anti-dilutive were as follows :</w:t>
      </w:r>
    </w:p>
    <w:tbl>
      <w:tblPr>
        <w:tblW w:w="8077" w:type="dxa"/>
        <w:jc w:val="left"/>
        <w:tblInd w:w="0" w:type="dxa"/>
        <w:tblLayout w:type="fixed"/>
        <w:tblCellMar>
          <w:top w:w="28" w:type="dxa"/>
          <w:left w:w="28" w:type="dxa"/>
          <w:bottom w:w="28" w:type="dxa"/>
          <w:right w:w="28" w:type="dxa"/>
        </w:tblCellMar>
      </w:tblPr>
      <w:tblGrid>
        <w:gridCol w:w="1471"/>
        <w:gridCol w:w="1295"/>
        <w:gridCol w:w="1298"/>
        <w:gridCol w:w="109"/>
        <w:gridCol w:w="109"/>
        <w:gridCol w:w="171"/>
        <w:gridCol w:w="171"/>
        <w:gridCol w:w="171"/>
        <w:gridCol w:w="171"/>
        <w:gridCol w:w="540"/>
        <w:gridCol w:w="541"/>
        <w:gridCol w:w="171"/>
        <w:gridCol w:w="109"/>
        <w:gridCol w:w="109"/>
        <w:gridCol w:w="109"/>
        <w:gridCol w:w="592"/>
        <w:gridCol w:w="594"/>
        <w:gridCol w:w="346"/>
      </w:tblGrid>
      <w:tr>
        <w:trPr/>
        <w:tc>
          <w:tcPr>
            <w:tcW w:w="1471"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As of June 30,</w:t>
            </w:r>
          </w:p>
        </w:tc>
        <w:tc>
          <w:tcPr>
            <w:tcW w:w="1859" w:type="dxa"/>
            <w:gridSpan w:val="6"/>
            <w:tcBorders/>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2026</w:t>
            </w:r>
          </w:p>
        </w:tc>
        <w:tc>
          <w:tcPr>
            <w:tcW w:w="327" w:type="dxa"/>
            <w:gridSpan w:val="3"/>
            <w:tcBorders>
              <w:top w:val="single" w:sz="4"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231F20"/>
                <w:sz w:val="18"/>
              </w:rPr>
              <w:t xml:space="preserve">2025 </w:t>
            </w:r>
            <w:r>
              <w:rPr>
                <w:rFonts w:ascii="Times New Roman;serif" w:hAnsi="Times New Roman;serif"/>
                <w:b/>
                <w:color w:val="231F20"/>
                <w:sz w:val="12"/>
              </w:rPr>
              <w:t>(1)</w:t>
            </w:r>
          </w:p>
        </w:tc>
      </w:tr>
      <w:tr>
        <w:trPr/>
        <w:tc>
          <w:tcPr>
            <w:tcW w:w="4064" w:type="dxa"/>
            <w:gridSpan w:val="3"/>
            <w:tcBorders/>
            <w:shd w:fill="CCED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Warrants as exercisable to common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157,960 </w:t>
            </w:r>
          </w:p>
        </w:tc>
        <w:tc>
          <w:tcPr>
            <w:tcW w:w="1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677,934</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Stock options issued and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46,966,503 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42,936,552 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Preferred shares as convertible to common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199,930,069 </w:t>
            </w:r>
          </w:p>
        </w:tc>
        <w:tc>
          <w:tcPr>
            <w:tcW w:w="34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tLeast" w:line="210" w:before="0" w:after="0"/>
              <w:jc w:val="left"/>
              <w:rPr>
                <w:rFonts w:ascii="Times New Roman;serif" w:hAnsi="Times New Roman;serif"/>
                <w:b/>
                <w:color w:val="231F20"/>
                <w:sz w:val="20"/>
              </w:rPr>
            </w:pPr>
            <w:r>
              <w:rPr>
                <w:rFonts w:ascii="Times New Roman;serif" w:hAnsi="Times New Roman;serif"/>
                <w:b/>
                <w:color w:val="231F2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231F20"/>
                <w:sz w:val="20"/>
              </w:rPr>
            </w:pPr>
            <w:r>
              <w:rPr>
                <w:rFonts w:ascii="Times New Roman;serif" w:hAnsi="Times New Roman;serif"/>
                <w:b/>
                <w:color w:val="231F20"/>
                <w:sz w:val="20"/>
              </w:rPr>
              <w:t>47,124,463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231F20"/>
                <w:sz w:val="20"/>
              </w:rPr>
            </w:pPr>
            <w:r>
              <w:rPr>
                <w:rFonts w:ascii="Times New Roman;serif" w:hAnsi="Times New Roman;serif"/>
                <w:b/>
                <w:color w:val="231F20"/>
                <w:sz w:val="20"/>
              </w:rPr>
              <w:t>243,544,555</w:t>
            </w:r>
          </w:p>
        </w:tc>
      </w:tr>
    </w:tbl>
    <w:p>
      <w:pPr>
        <w:pStyle w:val="TextBody"/>
        <w:bidi w:val="0"/>
        <w:spacing w:lineRule="auto" w:line="288" w:before="0" w:after="160"/>
        <w:jc w:val="left"/>
        <w:rPr/>
      </w:pPr>
      <w:r>
        <w:rPr>
          <w:rFonts w:ascii="Times New Roman;serif" w:hAnsi="Times New Roman;serif"/>
          <w:b w:val="false"/>
          <w:color w:val="231F20"/>
          <w:sz w:val="14"/>
        </w:rPr>
        <w:t xml:space="preserve">(1) </w:t>
      </w:r>
      <w:r>
        <w:rPr>
          <w:rFonts w:ascii="Times New Roman;serif" w:hAnsi="Times New Roman;serif"/>
          <w:b w:val="false"/>
          <w:color w:val="000000"/>
          <w:sz w:val="20"/>
        </w:rPr>
        <w:t>Shares have been recast to reflect the Exchange Ratio established in the Reverse Recapitalization. Refer to Note 3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hanging="540"/>
        <w:jc w:val="left"/>
        <w:rPr/>
      </w:pPr>
      <w:r>
        <w:rPr>
          <w:rFonts w:ascii="Times New Roman;serif" w:hAnsi="Times New Roman;serif"/>
          <w:b/>
          <w:color w:val="231F20"/>
          <w:sz w:val="20"/>
        </w:rPr>
        <w:t>Note 18 - Segment</w:t>
      </w:r>
      <w:r>
        <w:rPr>
          <w:color w:val="231F20"/>
        </w:rPr>
        <w:t xml:space="preserve"> </w:t>
      </w:r>
      <w:r>
        <w:rPr>
          <w:rFonts w:ascii="Times New Roman;serif" w:hAnsi="Times New Roman;serif"/>
          <w:b/>
          <w:color w:val="231F20"/>
          <w:sz w:val="20"/>
        </w:rPr>
        <w:t>Information:</w:t>
      </w:r>
    </w:p>
    <w:p>
      <w:pPr>
        <w:pStyle w:val="TextBody"/>
        <w:bidi w:val="0"/>
        <w:spacing w:lineRule="auto" w:line="288" w:before="120" w:after="120"/>
        <w:ind w:left="0" w:right="0" w:firstLine="360"/>
        <w:jc w:val="both"/>
        <w:rPr/>
      </w:pPr>
      <w:r>
        <w:rPr>
          <w:rFonts w:ascii="Times New Roman;serif" w:hAnsi="Times New Roman;serif"/>
          <w:b w:val="false"/>
          <w:color w:val="231F20"/>
          <w:sz w:val="20"/>
        </w:rPr>
        <w:t>Operating segments are defined as components of an enterprise for which separate discrete information is available</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evaluation</w:t>
      </w:r>
      <w:r>
        <w:rPr>
          <w:color w:val="231F20"/>
        </w:rPr>
        <w:t xml:space="preserve"> </w:t>
      </w:r>
      <w:r>
        <w:rPr>
          <w:rFonts w:ascii="Times New Roman;serif" w:hAnsi="Times New Roman;serif"/>
          <w:b w:val="false"/>
          <w:color w:val="231F20"/>
          <w:sz w:val="20"/>
        </w:rPr>
        <w:t>by</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chief</w:t>
      </w:r>
      <w:r>
        <w:rPr>
          <w:color w:val="231F20"/>
        </w:rPr>
        <w:t xml:space="preserve"> </w:t>
      </w:r>
      <w:r>
        <w:rPr>
          <w:rFonts w:ascii="Times New Roman;serif" w:hAnsi="Times New Roman;serif"/>
          <w:b w:val="false"/>
          <w:color w:val="231F20"/>
          <w:sz w:val="20"/>
        </w:rPr>
        <w:t>operating</w:t>
      </w:r>
      <w:r>
        <w:rPr>
          <w:color w:val="231F20"/>
        </w:rPr>
        <w:t xml:space="preserve"> </w:t>
      </w:r>
      <w:r>
        <w:rPr>
          <w:rFonts w:ascii="Times New Roman;serif" w:hAnsi="Times New Roman;serif"/>
          <w:b w:val="false"/>
          <w:color w:val="231F20"/>
          <w:sz w:val="20"/>
        </w:rPr>
        <w:t>decision</w:t>
      </w:r>
      <w:r>
        <w:rPr>
          <w:color w:val="231F20"/>
        </w:rPr>
        <w:t xml:space="preserve"> </w:t>
      </w:r>
      <w:r>
        <w:rPr>
          <w:rFonts w:ascii="Times New Roman;serif" w:hAnsi="Times New Roman;serif"/>
          <w:b w:val="false"/>
          <w:color w:val="231F20"/>
          <w:sz w:val="20"/>
        </w:rPr>
        <w:t>maker</w:t>
      </w:r>
      <w:r>
        <w:rPr>
          <w:color w:val="231F20"/>
        </w:rPr>
        <w:t xml:space="preserve"> </w:t>
      </w:r>
      <w:r>
        <w:rPr>
          <w:rFonts w:ascii="Times New Roman;serif" w:hAnsi="Times New Roman;serif"/>
          <w:b w:val="false"/>
          <w:color w:val="231F20"/>
          <w:sz w:val="20"/>
        </w:rPr>
        <w:t>(“CODM”)</w:t>
      </w:r>
      <w:r>
        <w:rPr>
          <w:color w:val="231F20"/>
        </w:rPr>
        <w:t xml:space="preserve"> </w:t>
      </w:r>
      <w:r>
        <w:rPr>
          <w:rFonts w:ascii="Times New Roman;serif" w:hAnsi="Times New Roman;serif"/>
          <w:b w:val="false"/>
          <w:color w:val="231F20"/>
          <w:sz w:val="20"/>
        </w:rPr>
        <w:t>in</w:t>
      </w:r>
      <w:r>
        <w:rPr>
          <w:color w:val="231F20"/>
        </w:rPr>
        <w:t xml:space="preserve"> </w:t>
      </w:r>
      <w:r>
        <w:rPr>
          <w:rFonts w:ascii="Times New Roman;serif" w:hAnsi="Times New Roman;serif"/>
          <w:b w:val="false"/>
          <w:color w:val="231F20"/>
          <w:sz w:val="20"/>
        </w:rPr>
        <w:t>deciding</w:t>
      </w:r>
      <w:r>
        <w:rPr>
          <w:color w:val="231F20"/>
        </w:rPr>
        <w:t xml:space="preserve"> </w:t>
      </w:r>
      <w:r>
        <w:rPr>
          <w:rFonts w:ascii="Times New Roman;serif" w:hAnsi="Times New Roman;serif"/>
          <w:b w:val="false"/>
          <w:color w:val="231F20"/>
          <w:sz w:val="20"/>
        </w:rPr>
        <w:t>how</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allocate</w:t>
      </w:r>
      <w:r>
        <w:rPr>
          <w:color w:val="231F20"/>
        </w:rPr>
        <w:t xml:space="preserve"> </w:t>
      </w:r>
      <w:r>
        <w:rPr>
          <w:rFonts w:ascii="Times New Roman;serif" w:hAnsi="Times New Roman;serif"/>
          <w:b w:val="false"/>
          <w:color w:val="231F20"/>
          <w:sz w:val="20"/>
        </w:rPr>
        <w:t>resources and in assessing performance.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CODM is its Chief Executive Officer. The CODM has determined that the Company operates in a single operating and reportable segment and manages segment performance and resource allocation based upon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16840"/>
                <wp:effectExtent l="0" t="0" r="0" b="0"/>
                <wp:wrapNone/>
                <wp:docPr id="50" name="Frame4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39</w:t>
                      </w:r>
                    </w:p>
                  </w:txbxContent>
                </v:textbox>
                <w10:wrap type="none"/>
              </v:rect>
            </w:pict>
          </mc:Fallback>
        </mc:AlternateContent>
      </w:r>
    </w:p>
    <w:p>
      <w:pPr>
        <w:pStyle w:val="TextBody"/>
        <w:bidi w:val="0"/>
        <w:spacing w:lineRule="auto" w:line="288" w:before="0" w:after="0"/>
        <w:ind w:left="0" w:right="0" w:hanging="117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pPr>
      <w:r>
        <w:rPr>
          <w:rFonts w:ascii="Times New Roman;serif" w:hAnsi="Times New Roman;serif"/>
          <w:b/>
          <w:color w:val="231F20"/>
          <w:sz w:val="20"/>
        </w:rPr>
        <w:t>XANADU</w:t>
      </w:r>
      <w:r>
        <w:rPr>
          <w:color w:val="231F20"/>
        </w:rPr>
        <w:t xml:space="preserve"> </w:t>
      </w:r>
      <w:r>
        <w:rPr>
          <w:rFonts w:ascii="Times New Roman;serif" w:hAnsi="Times New Roman;serif"/>
          <w:b/>
          <w:color w:val="231F20"/>
          <w:sz w:val="20"/>
        </w:rPr>
        <w:t>QUANTUM</w:t>
      </w:r>
      <w:r>
        <w:rPr>
          <w:color w:val="231F20"/>
        </w:rPr>
        <w:t xml:space="preserve"> </w:t>
      </w:r>
      <w:r>
        <w:rPr>
          <w:rFonts w:ascii="Times New Roman;serif" w:hAnsi="Times New Roman;serif"/>
          <w:b/>
          <w:color w:val="231F20"/>
          <w:sz w:val="20"/>
        </w:rPr>
        <w:t>TECHNOLOGIES LIMITED</w:t>
      </w:r>
    </w:p>
    <w:p>
      <w:pPr>
        <w:pStyle w:val="TextBody"/>
        <w:bidi w:val="0"/>
        <w:spacing w:lineRule="auto" w:line="288" w:before="0" w:after="0"/>
        <w:jc w:val="center"/>
        <w:rPr/>
      </w:pPr>
      <w:r>
        <w:rPr>
          <w:rFonts w:ascii="Times New Roman;serif" w:hAnsi="Times New Roman;serif"/>
          <w:b/>
          <w:color w:val="231F20"/>
          <w:sz w:val="20"/>
        </w:rPr>
        <w:t>Notes</w:t>
      </w:r>
      <w:r>
        <w:rPr>
          <w:color w:val="231F20"/>
        </w:rPr>
        <w:t xml:space="preserve"> </w:t>
      </w:r>
      <w:r>
        <w:rPr>
          <w:rFonts w:ascii="Times New Roman;serif" w:hAnsi="Times New Roman;serif"/>
          <w:b/>
          <w:color w:val="231F20"/>
          <w:sz w:val="20"/>
        </w:rPr>
        <w:t>to</w:t>
      </w:r>
      <w:r>
        <w:rPr>
          <w:color w:val="231F20"/>
        </w:rPr>
        <w:t xml:space="preserve"> </w:t>
      </w:r>
      <w:r>
        <w:rPr>
          <w:rFonts w:ascii="Times New Roman;serif" w:hAnsi="Times New Roman;serif"/>
          <w:b/>
          <w:color w:val="231F20"/>
          <w:sz w:val="20"/>
        </w:rPr>
        <w:t>the</w:t>
      </w:r>
      <w:r>
        <w:rPr>
          <w:color w:val="231F20"/>
        </w:rPr>
        <w:t xml:space="preserve"> </w:t>
      </w:r>
      <w:r>
        <w:rPr>
          <w:rFonts w:ascii="Times New Roman;serif" w:hAnsi="Times New Roman;serif"/>
          <w:b/>
          <w:color w:val="231F20"/>
          <w:sz w:val="20"/>
        </w:rPr>
        <w:t>Condensed</w:t>
      </w:r>
      <w:r>
        <w:rPr>
          <w:color w:val="231F20"/>
        </w:rPr>
        <w:t xml:space="preserve"> </w:t>
      </w:r>
      <w:r>
        <w:rPr>
          <w:rFonts w:ascii="Times New Roman;serif" w:hAnsi="Times New Roman;serif"/>
          <w:b/>
          <w:color w:val="231F20"/>
          <w:sz w:val="20"/>
        </w:rPr>
        <w:t>Consolidated</w:t>
      </w:r>
      <w:r>
        <w:rPr>
          <w:color w:val="231F20"/>
        </w:rPr>
        <w:t xml:space="preserve"> </w:t>
      </w:r>
      <w:r>
        <w:rPr>
          <w:rFonts w:ascii="Times New Roman;serif" w:hAnsi="Times New Roman;serif"/>
          <w:b/>
          <w:color w:val="231F20"/>
          <w:sz w:val="20"/>
        </w:rPr>
        <w:t>Financial</w:t>
      </w:r>
      <w:r>
        <w:rPr>
          <w:color w:val="231F20"/>
        </w:rPr>
        <w:t xml:space="preserve"> </w:t>
      </w:r>
      <w:r>
        <w:rPr>
          <w:rFonts w:ascii="Times New Roman;serif" w:hAnsi="Times New Roman;serif"/>
          <w:b/>
          <w:color w:val="231F20"/>
          <w:sz w:val="20"/>
        </w:rPr>
        <w:t xml:space="preserve">Statements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 except for share and per share amounts, ratios or as otherwise noted)</w:t>
      </w:r>
    </w:p>
    <w:p>
      <w:pPr>
        <w:pStyle w:val="TextBody"/>
        <w:bidi w:val="0"/>
        <w:spacing w:before="0" w:after="0"/>
        <w:jc w:val="center"/>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consolidated net loss. The measure of segment assets is reported on the consolidated balance sheets as total consolidated assets. Significant expenses reviewed by the CODM include those that are presented in the consolidated statement of operations and comprehensive loss. The CODM evaluates actual results compared to forecasted results for consolidated net loss, including significant expenses, when making decisions about allocating resources.</w:t>
      </w:r>
    </w:p>
    <w:p>
      <w:pPr>
        <w:pStyle w:val="TextBody"/>
        <w:bidi w:val="0"/>
        <w:spacing w:lineRule="auto" w:line="288" w:before="120" w:after="120"/>
        <w:ind w:left="0" w:right="0" w:firstLine="360"/>
        <w:jc w:val="both"/>
        <w:rPr/>
      </w:pPr>
      <w:r>
        <w:rPr>
          <w:rFonts w:ascii="Times New Roman;serif" w:hAnsi="Times New Roman;serif"/>
          <w:b w:val="false"/>
          <w:color w:val="231F20"/>
          <w:sz w:val="20"/>
        </w:rPr>
        <w:t>Substantially</w:t>
      </w:r>
      <w:r>
        <w:rPr>
          <w:color w:val="231F20"/>
        </w:rPr>
        <w:t xml:space="preserve"> </w:t>
      </w:r>
      <w:r>
        <w:rPr>
          <w:rFonts w:ascii="Times New Roman;serif" w:hAnsi="Times New Roman;serif"/>
          <w:b w:val="false"/>
          <w:color w:val="231F20"/>
          <w:sz w:val="20"/>
        </w:rPr>
        <w:t>all</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Company’s</w:t>
      </w:r>
      <w:r>
        <w:rPr>
          <w:color w:val="231F20"/>
        </w:rPr>
        <w:t xml:space="preserve"> </w:t>
      </w:r>
      <w:r>
        <w:rPr>
          <w:rFonts w:ascii="Times New Roman;serif" w:hAnsi="Times New Roman;serif"/>
          <w:b w:val="false"/>
          <w:color w:val="231F20"/>
          <w:sz w:val="20"/>
        </w:rPr>
        <w:t>long-lived</w:t>
      </w:r>
      <w:r>
        <w:rPr>
          <w:color w:val="231F20"/>
        </w:rPr>
        <w:t xml:space="preserve"> </w:t>
      </w:r>
      <w:r>
        <w:rPr>
          <w:rFonts w:ascii="Times New Roman;serif" w:hAnsi="Times New Roman;serif"/>
          <w:b w:val="false"/>
          <w:color w:val="231F20"/>
          <w:sz w:val="20"/>
        </w:rPr>
        <w:t>assets</w:t>
      </w:r>
      <w:r>
        <w:rPr>
          <w:color w:val="231F20"/>
        </w:rPr>
        <w:t xml:space="preserve"> </w:t>
      </w:r>
      <w:r>
        <w:rPr>
          <w:rFonts w:ascii="Times New Roman;serif" w:hAnsi="Times New Roman;serif"/>
          <w:b w:val="false"/>
          <w:color w:val="231F20"/>
          <w:sz w:val="20"/>
        </w:rPr>
        <w:t>are</w:t>
      </w:r>
      <w:r>
        <w:rPr>
          <w:color w:val="231F20"/>
        </w:rPr>
        <w:t xml:space="preserve"> </w:t>
      </w:r>
      <w:r>
        <w:rPr>
          <w:rFonts w:ascii="Times New Roman;serif" w:hAnsi="Times New Roman;serif"/>
          <w:b w:val="false"/>
          <w:color w:val="231F20"/>
          <w:sz w:val="20"/>
        </w:rPr>
        <w:t>located</w:t>
      </w:r>
      <w:r>
        <w:rPr>
          <w:color w:val="231F20"/>
        </w:rPr>
        <w:t xml:space="preserve"> </w:t>
      </w:r>
      <w:r>
        <w:rPr>
          <w:rFonts w:ascii="Times New Roman;serif" w:hAnsi="Times New Roman;serif"/>
          <w:b w:val="false"/>
          <w:color w:val="231F20"/>
          <w:sz w:val="20"/>
        </w:rPr>
        <w:t>in</w:t>
      </w:r>
      <w:r>
        <w:rPr>
          <w:color w:val="231F20"/>
        </w:rPr>
        <w:t xml:space="preserve"> </w:t>
      </w:r>
      <w:r>
        <w:rPr>
          <w:rFonts w:ascii="Times New Roman;serif" w:hAnsi="Times New Roman;serif"/>
          <w:b w:val="false"/>
          <w:color w:val="231F20"/>
          <w:sz w:val="20"/>
        </w:rPr>
        <w:t>Canada.</w:t>
      </w:r>
      <w:r>
        <w:rPr>
          <w:color w:val="231F20"/>
        </w:rPr>
        <w:t xml:space="preserve"> </w:t>
      </w:r>
      <w:r>
        <w:rPr>
          <w:rFonts w:ascii="Times New Roman;serif" w:hAnsi="Times New Roman;serif"/>
          <w:b w:val="false"/>
          <w:color w:val="231F20"/>
          <w:sz w:val="20"/>
        </w:rPr>
        <w:t>Refer</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Note</w:t>
      </w:r>
      <w:r>
        <w:rPr>
          <w:color w:val="231F20"/>
        </w:rPr>
        <w:t xml:space="preserve"> </w:t>
      </w:r>
      <w:r>
        <w:rPr>
          <w:rFonts w:ascii="Times New Roman;serif" w:hAnsi="Times New Roman;serif"/>
          <w:b w:val="false"/>
          <w:color w:val="231F20"/>
          <w:sz w:val="20"/>
        </w:rPr>
        <w:t>12</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additional information about the Company’s revenue by geography.</w:t>
      </w:r>
    </w:p>
    <w:p>
      <w:pPr>
        <w:pStyle w:val="TextBody"/>
        <w:bidi w:val="0"/>
        <w:spacing w:lineRule="auto" w:line="288" w:before="0" w:after="16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following table sets forth the Company’s segment information of revenue, significant expenses and net loss:</w:t>
      </w:r>
    </w:p>
    <w:tbl>
      <w:tblPr>
        <w:tblW w:w="10205" w:type="dxa"/>
        <w:jc w:val="left"/>
        <w:tblInd w:w="0" w:type="dxa"/>
        <w:tblLayout w:type="fixed"/>
        <w:tblCellMar>
          <w:top w:w="28" w:type="dxa"/>
          <w:left w:w="28" w:type="dxa"/>
          <w:bottom w:w="28" w:type="dxa"/>
          <w:right w:w="28" w:type="dxa"/>
        </w:tblCellMar>
      </w:tblPr>
      <w:tblGrid>
        <w:gridCol w:w="1792"/>
        <w:gridCol w:w="1486"/>
        <w:gridCol w:w="1500"/>
        <w:gridCol w:w="211"/>
        <w:gridCol w:w="779"/>
        <w:gridCol w:w="109"/>
        <w:gridCol w:w="109"/>
        <w:gridCol w:w="109"/>
        <w:gridCol w:w="109"/>
        <w:gridCol w:w="211"/>
        <w:gridCol w:w="779"/>
        <w:gridCol w:w="109"/>
        <w:gridCol w:w="109"/>
        <w:gridCol w:w="109"/>
        <w:gridCol w:w="109"/>
        <w:gridCol w:w="211"/>
        <w:gridCol w:w="779"/>
        <w:gridCol w:w="109"/>
        <w:gridCol w:w="109"/>
        <w:gridCol w:w="109"/>
        <w:gridCol w:w="109"/>
        <w:gridCol w:w="211"/>
        <w:gridCol w:w="779"/>
        <w:gridCol w:w="159"/>
      </w:tblGrid>
      <w:tr>
        <w:trPr/>
        <w:tc>
          <w:tcPr>
            <w:tcW w:w="1792"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778"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109"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109"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4,343 </w:t>
            </w:r>
          </w:p>
        </w:tc>
        <w:tc>
          <w:tcPr>
            <w:tcW w:w="109"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159"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778"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 excluding salaries and share-based compensation:</w:t>
            </w:r>
          </w:p>
        </w:tc>
        <w:tc>
          <w:tcPr>
            <w:tcW w:w="109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Cost of revenue (exclusive of depreciation and amortization below)</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CCED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7,405 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5,458 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8,563 </w:t>
            </w:r>
          </w:p>
        </w:tc>
        <w:tc>
          <w:tcPr>
            <w:tcW w:w="15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CCED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5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Salaries and share-based compensation expense</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CCED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2,535 </w:t>
            </w:r>
          </w:p>
        </w:tc>
        <w:tc>
          <w:tcPr>
            <w:tcW w:w="15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CCED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(1)</w:t>
            </w:r>
          </w:p>
        </w:tc>
        <w:tc>
          <w:tcPr>
            <w:tcW w:w="9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15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(42,051)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(15,140)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(62,655)</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(27,345)</w:t>
            </w:r>
          </w:p>
        </w:tc>
        <w:tc>
          <w:tcPr>
            <w:tcW w:w="15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Other segment items include other operating income, net, loss on fair value of earn out share liabilities, net, loss on derivative instruments, net and other (income) expense, net which are reflected in the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hanging="540"/>
        <w:jc w:val="left"/>
        <w:rPr/>
      </w:pPr>
      <w:r>
        <w:rPr>
          <w:rFonts w:ascii="Times New Roman;serif" w:hAnsi="Times New Roman;serif"/>
          <w:b/>
          <w:color w:val="231F20"/>
          <w:sz w:val="20"/>
        </w:rPr>
        <w:t>Note 19 - Subsequent</w:t>
      </w:r>
      <w:r>
        <w:rPr>
          <w:color w:val="231F20"/>
        </w:rPr>
        <w:t xml:space="preserve"> </w:t>
      </w:r>
      <w:r>
        <w:rPr>
          <w:rFonts w:ascii="Times New Roman;serif" w:hAnsi="Times New Roman;serif"/>
          <w:b/>
          <w:color w:val="231F20"/>
          <w:sz w:val="20"/>
        </w:rPr>
        <w:t>Events: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evaluated all events occurring through August 5, 2026, the date on which the condensed consolidated financial statements were issued, and during which time, nothing has occurred outside the normal course of business operations that would require disclosure except the following:</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Warrant Exercise</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July 27, 2026, RBC, the holder of the Company’s 157,960 outstanding SVS Warrants elected to exercise the warrants in full through a net cashless exercise feature. Pursuant to the terms of the warrant agreement, 17,671 SVS Warrants were surrendered to satisfy the aggregate strike price of $1.15 per share, resulting in the net issuance of 140,289 Class B Subordinate Voting Shares. Following this transaction, the Company has no outstanding SVS Warrants.</w:t>
      </w:r>
    </w:p>
    <w:p>
      <w:pPr>
        <w:pStyle w:val="TextBody"/>
        <w:bidi w:val="0"/>
        <w:spacing w:before="17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16840"/>
                <wp:effectExtent l="0" t="0" r="0" b="0"/>
                <wp:wrapNone/>
                <wp:docPr id="51" name="Frame5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ind w:left="0" w:right="0" w:firstLine="720"/>
        <w:jc w:val="center"/>
        <w:rPr/>
      </w:pPr>
      <w:r>
        <w:rPr/>
        <w:drawing>
          <wp:inline distT="0" distB="0" distL="0" distR="0">
            <wp:extent cx="3762375" cy="1000125"/>
            <wp:effectExtent l="0" t="0" r="0" b="0"/>
            <wp:docPr id="5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 descr=""/>
                    <pic:cNvPicPr>
                      <a:picLocks noChangeAspect="1" noChangeArrowheads="1"/>
                    </pic:cNvPicPr>
                  </pic:nvPicPr>
                  <pic:blipFill>
                    <a:blip r:embed="rId3"/>
                    <a:stretch>
                      <a:fillRect/>
                    </a:stretch>
                  </pic:blipFill>
                  <pic:spPr bwMode="auto">
                    <a:xfrm>
                      <a:off x="0" y="0"/>
                      <a:ext cx="3762375" cy="1000125"/>
                    </a:xfrm>
                    <a:prstGeom prst="rect">
                      <a:avLst/>
                    </a:prstGeom>
                  </pic:spPr>
                </pic:pic>
              </a:graphicData>
            </a:graphic>
          </wp:inline>
        </w:drawing>
      </w:r>
      <w:bookmarkStart w:id="1" w:name="i-2"/>
      <w:bookmarkEnd w:id="1"/>
    </w:p>
    <w:p>
      <w:pPr>
        <w:pStyle w:val="TextBody"/>
        <w:bidi w:val="0"/>
        <w:spacing w:lineRule="auto" w:line="321" w:before="0" w:after="160"/>
        <w:jc w:val="center"/>
        <w:rPr>
          <w:rFonts w:ascii="Times New Roman;serif" w:hAnsi="Times New Roman;serif"/>
          <w:b/>
          <w:color w:val="000000"/>
          <w:sz w:val="24"/>
        </w:rPr>
      </w:pPr>
      <w:r>
        <w:rPr>
          <w:rFonts w:ascii="Times New Roman;serif" w:hAnsi="Times New Roman;serif"/>
          <w:b/>
          <w:color w:val="000000"/>
          <w:sz w:val="24"/>
        </w:rPr>
        <w:t>Xanadu Quantum Technologies Limited</w:t>
      </w:r>
    </w:p>
    <w:p>
      <w:pPr>
        <w:pStyle w:val="TextBody"/>
        <w:bidi w:val="0"/>
        <w:spacing w:lineRule="auto" w:line="321" w:before="0" w:after="160"/>
        <w:jc w:val="center"/>
        <w:rPr>
          <w:rFonts w:ascii="Times New Roman;serif" w:hAnsi="Times New Roman;serif"/>
          <w:b w:val="false"/>
          <w:color w:val="000000"/>
          <w:sz w:val="24"/>
        </w:rPr>
      </w:pPr>
      <w:r>
        <w:rPr>
          <w:rFonts w:ascii="Times New Roman;serif" w:hAnsi="Times New Roman;serif"/>
          <w:b w:val="false"/>
          <w:color w:val="000000"/>
          <w:sz w:val="24"/>
        </w:rPr>
        <w:t>Quarterly Report</w:t>
      </w:r>
    </w:p>
    <w:p>
      <w:pPr>
        <w:pStyle w:val="TextBody"/>
        <w:bidi w:val="0"/>
        <w:spacing w:lineRule="auto" w:line="321" w:before="0" w:after="160"/>
        <w:jc w:val="center"/>
        <w:rPr>
          <w:rFonts w:ascii="Times New Roman;serif" w:hAnsi="Times New Roman;serif"/>
          <w:b w:val="false"/>
          <w:color w:val="000000"/>
          <w:sz w:val="24"/>
        </w:rPr>
      </w:pPr>
      <w:r>
        <w:rPr>
          <w:rFonts w:ascii="Times New Roman;serif" w:hAnsi="Times New Roman;serif"/>
          <w:b w:val="false"/>
          <w:color w:val="000000"/>
          <w:sz w:val="24"/>
        </w:rPr>
        <w:t>Management's Discussion and Analysis</w:t>
      </w:r>
    </w:p>
    <w:p>
      <w:pPr>
        <w:pStyle w:val="TextBody"/>
        <w:bidi w:val="0"/>
        <w:spacing w:lineRule="auto" w:line="321" w:before="0" w:after="160"/>
        <w:jc w:val="center"/>
        <w:rPr>
          <w:rFonts w:ascii="Times New Roman;serif" w:hAnsi="Times New Roman;serif"/>
          <w:b w:val="false"/>
          <w:color w:val="000000"/>
          <w:sz w:val="24"/>
        </w:rPr>
      </w:pPr>
      <w:r>
        <w:rPr>
          <w:rFonts w:ascii="Times New Roman;serif" w:hAnsi="Times New Roman;serif"/>
          <w:b w:val="false"/>
          <w:color w:val="000000"/>
          <w:sz w:val="24"/>
        </w:rPr>
        <w:t>For the three and six months ended June 30, 2026 and 2025</w:t>
      </w:r>
    </w:p>
    <w:p>
      <w:pPr>
        <w:pStyle w:val="TextBody"/>
        <w:bidi w:val="0"/>
        <w:spacing w:lineRule="auto" w:line="321" w:before="0" w:after="160"/>
        <w:jc w:val="center"/>
        <w:rPr>
          <w:rFonts w:ascii="Times New Roman;serif" w:hAnsi="Times New Roman;serif"/>
          <w:b w:val="false"/>
          <w:color w:val="000000"/>
          <w:sz w:val="24"/>
        </w:rPr>
      </w:pPr>
      <w:r>
        <w:rPr>
          <w:rFonts w:ascii="Times New Roman;serif" w:hAnsi="Times New Roman;serif"/>
          <w:b w:val="false"/>
          <w:color w:val="000000"/>
          <w:sz w:val="24"/>
        </w:rPr>
        <w:t>August 5,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16840"/>
                <wp:effectExtent l="0" t="0" r="0" b="0"/>
                <wp:wrapNone/>
                <wp:docPr id="53" name="Frame5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231F20"/>
                          <w:sz w:val="20"/>
                        </w:rPr>
                      </w:pPr>
                      <w:r>
                        <w:rPr>
                          <w:rFonts w:ascii="Times New Roman;serif" w:hAnsi="Times New Roman;serif"/>
                          <w:b w:val="false"/>
                          <w:color w:val="231F20"/>
                          <w:sz w:val="20"/>
                        </w:rPr>
                        <w:t>41</w:t>
                      </w:r>
                    </w:p>
                  </w:txbxContent>
                </v:textbox>
                <w10:wrap type="none"/>
              </v:rect>
            </w:pict>
          </mc:Fallback>
        </mc:AlternateContent>
      </w:r>
    </w:p>
    <w:p>
      <w:pPr>
        <w:pStyle w:val="TextBody"/>
        <w:bidi w:val="0"/>
        <w:spacing w:lineRule="auto" w:line="288" w:before="0" w:after="0"/>
        <w:ind w:left="0" w:right="0" w:hanging="117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31F20"/>
          <w:sz w:val="18"/>
        </w:rPr>
      </w:pPr>
      <w:r>
        <w:rPr>
          <w:rFonts w:ascii="Times New Roman;serif" w:hAnsi="Times New Roman;serif"/>
          <w:b/>
          <w:color w:val="231F20"/>
          <w:sz w:val="18"/>
        </w:rPr>
        <w:t>MANAGEMENT'S DISCUSSION AND ANALYSIS OF FINANCIAL CONDITION AND RESULTS OF OPERATIONS</w:t>
      </w:r>
    </w:p>
    <w:p>
      <w:pPr>
        <w:pStyle w:val="TextBody"/>
        <w:bidi w:val="0"/>
        <w:spacing w:before="0" w:after="200"/>
        <w:jc w:val="center"/>
        <w:rPr/>
      </w:pPr>
      <w:r>
        <w:rPr/>
      </w:r>
    </w:p>
    <w:p>
      <w:pPr>
        <w:pStyle w:val="TextBody"/>
        <w:bidi w:val="0"/>
        <w:spacing w:before="0" w:after="0"/>
        <w:jc w:val="center"/>
        <w:rPr/>
      </w:pPr>
      <w:r>
        <w:rPr/>
      </w:r>
    </w:p>
    <w:p>
      <w:pPr>
        <w:pStyle w:val="TextBody"/>
        <w:bidi w:val="0"/>
        <w:spacing w:lineRule="auto" w:line="288" w:before="0" w:after="160"/>
        <w:ind w:left="0" w:right="0" w:firstLine="384"/>
        <w:jc w:val="both"/>
        <w:rPr>
          <w:rFonts w:ascii="Times New Roman;serif" w:hAnsi="Times New Roman;serif"/>
          <w:b w:val="false"/>
          <w:i/>
          <w:color w:val="000000"/>
          <w:sz w:val="20"/>
        </w:rPr>
      </w:pPr>
      <w:r>
        <w:rPr>
          <w:rFonts w:ascii="Times New Roman;serif" w:hAnsi="Times New Roman;serif"/>
          <w:b w:val="false"/>
          <w:i/>
          <w:color w:val="000000"/>
          <w:sz w:val="20"/>
        </w:rPr>
        <w:t xml:space="preserve">Unless the context otherwise indicates, as used in this “Management’s Discussion and Analysis of Financial Condition and Results of Operations” (“MD&amp;A”), the terms “we,” “us,” “our,” “Xanadu,” the “Company” and similar terms refer to Xanadu Quantum Technologies Limited and its consolidated subsidiaries. The following MD&amp;A provides information which Xanadu’s management believes is relevant to an assessment and understanding of our results of operations and financial condition. The MD&amp;A should be read together with our unaudited condensed consolidated financial statements and the related notes as of and for the three and six months ended June 30, 2026 and 2025 (the “Condensed Consolidated Financial Statements”) and the consolidated financial statements for Xanadu and for Old Xanadu, as applicable, and related notes for the years ended December 31, 2025, 2024 and 2023 (the “Annual Financial Statements”) included in our Annual Report on Form 20-F (the "Annual Report") filed with the U.S. Securities and Exchange Commission (“SEC”) and the Canadian Securities Administrators (the “CSA”) on April 9, 2026. This discussion may contain forward-looking statements based upon current expectations that involve risks and uncertainties. Our actual results may differ materially from those anticipated in these forward-looking statements, including those set forth under the section entitled “Cautionary Note Regarding Forward-Looking Statements” in this MD&amp;A as a result of various factors, including those set forth under “Risk Factors” in our Annual Report. </w:t>
      </w:r>
    </w:p>
    <w:p>
      <w:pPr>
        <w:pStyle w:val="TextBody"/>
        <w:bidi w:val="0"/>
        <w:spacing w:lineRule="auto" w:line="288" w:before="0" w:after="160"/>
        <w:ind w:left="0" w:right="0" w:firstLine="384"/>
        <w:jc w:val="both"/>
        <w:rPr>
          <w:rFonts w:ascii="Times New Roman;serif" w:hAnsi="Times New Roman;serif"/>
          <w:b w:val="false"/>
          <w:i/>
          <w:color w:val="000000"/>
          <w:sz w:val="20"/>
        </w:rPr>
      </w:pPr>
      <w:r>
        <w:rPr>
          <w:rFonts w:ascii="Times New Roman;serif" w:hAnsi="Times New Roman;serif"/>
          <w:b w:val="false"/>
          <w:i/>
          <w:color w:val="000000"/>
          <w:sz w:val="20"/>
        </w:rPr>
        <w:t>Xanadu’s Condensed Consolidated Financial Statements have been prepared in accordance with accounting principles generally accepted in the United States of America (“U.S. GAAP”) and the rules and regulations of the SEC for interim financial statements. All amounts are in U.S. dollars except as otherwise indicated. For more information about the basis of presentation of Xanadu’s financial statements, see Note 2 - Basis of Presentation and Summary of Significant Accounting Policies within the Condensed Consolidated Financial Statements. This MD&amp;A is dated August 5, 2026 and was prepared with information available to this date.</w:t>
      </w:r>
    </w:p>
    <w:p>
      <w:pPr>
        <w:pStyle w:val="TextBody"/>
        <w:bidi w:val="0"/>
        <w:spacing w:lineRule="auto" w:line="240" w:before="170" w:after="283"/>
        <w:jc w:val="both"/>
        <w:rPr>
          <w:rFonts w:ascii="Times New Roman;serif" w:hAnsi="Times New Roman;serif"/>
          <w:b w:val="false"/>
          <w:i/>
          <w:color w:val="000000"/>
          <w:sz w:val="20"/>
        </w:rPr>
      </w:pPr>
      <w:r>
        <w:rPr>
          <w:rFonts w:ascii="Times New Roman;serif" w:hAnsi="Times New Roman;serif"/>
          <w:b w:val="false"/>
          <w:i/>
          <w:color w:val="000000"/>
          <w:sz w:val="20"/>
        </w:rPr>
        <w:t>Additional information relating to the Company is available on SEDAR+ at www.sedarplus.com and on EDGAR at www.sec.gov.</w:t>
      </w:r>
    </w:p>
    <w:p>
      <w:pPr>
        <w:pStyle w:val="TextBody"/>
        <w:bidi w:val="0"/>
        <w:spacing w:before="17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12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Xanadu is a quantum technology company specializing in the design and development of photonic-based quantum computing systems and the platforms that support them. Our current offerings primarily consist of applications development and proof of concept partnerships but also include quantum computers accessible via the cloud, quantum development software, quantum simulators, and a suite of supporting tools and applications. Xanadu is currently in a pre-commercial stage and does not yet offer quantum computers available for commercial sale beyond those in the early stages of development. Leveraging our photonic technology, we aim to deliver scalable, fault-tolerant and commercially useful quantum computing solutions that operate at room temperature, are manufacturable using existing silicon processes and are already proven to be modular, networkable and scalable.</w:t>
      </w:r>
    </w:p>
    <w:p>
      <w:pPr>
        <w:pStyle w:val="TextBody"/>
        <w:bidi w:val="0"/>
        <w:spacing w:lineRule="auto" w:line="288" w:before="120" w:after="12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Our business model focuses on providing customers with access to our quantum computing systems through cloud-based services, enabling quantum-computing-as-a-service ("QCaaS"), as well as offering related professional services to help organizations explore and implement quantum solutions. In addition to cloud access, we develop and distribute software frameworks that facilitate quantum algorithm development and integration into existing workflows. We collaborate with leading global organizations to explore applications in areas such as battery simulation and quantum machine learning.</w:t>
      </w:r>
    </w:p>
    <w:p>
      <w:pPr>
        <w:pStyle w:val="TextBody"/>
        <w:bidi w:val="0"/>
        <w:spacing w:lineRule="auto" w:line="288" w:before="120" w:after="12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had an accumulated deficit of $270.4 million and $206.3 million, respectively. For the six months ended June 30, 2026 and 2025, we incurred net losses of $62.7 million and $27.3 million, respectively. We expect to incur additional operating losses as we continue our research and development (“R&amp;D”) activities and expand our commercial operations.</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At present, our customers are concentrated. For the three months ended June 30, 2026, 75.0% of our revenues were attributable to two customers. For the three months ended June 30, 2025, 82% of our revenues were attributable to three customers. For the six months ended June 30, 2026, 79% of our revenues were attributable to two customers. For the six months ended June 30, 2025, 68% of our revenues were attributable to three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ind w:left="0" w:right="0" w:hanging="117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31F20"/>
          <w:sz w:val="18"/>
        </w:rPr>
      </w:pPr>
      <w:r>
        <w:rPr>
          <w:rFonts w:ascii="Times New Roman;serif" w:hAnsi="Times New Roman;serif"/>
          <w:b/>
          <w:color w:val="231F20"/>
          <w:sz w:val="18"/>
        </w:rPr>
        <w:t>MANAGEMENT'S DISCUSSION AND ANALYSIS OF FINANCIAL CONDITION AND RESULTS OF OPERATIONS</w:t>
      </w:r>
    </w:p>
    <w:p>
      <w:pPr>
        <w:pStyle w:val="TextBody"/>
        <w:bidi w:val="0"/>
        <w:spacing w:before="0" w:after="200"/>
        <w:jc w:val="center"/>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chief operating decision maker, our Chief Executive Officer, has determined that we operate in a single operating and reportable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3, 2025, Xanadu entered into a merger agreement (the "Agreement") with Crane Harbor Acquisition Corp. (“SPAC”) and Xanadu Quantum Technologies Inc. (“Old Xanadu”). The merger ("Reverse Recapitalization") closed on March 26, 2026 (the "Closing Date"). At closing of the Reverse Capitalization (the “Closing"), Xanadu had three authorized classes of shares, multiple voting shares (“Class A Multiple Voting Shares”), subordinate voting shares (“Class B Subordinate Voting Shares”) and preferred shares issuable in series, of which only Xanadu Class A Multiple Voting Shares and Xanadu Class B Subordinate Voting Shares were issued and outstanding.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Gross proceeds from the Reverse Recapitalization were $301.6 million, which includes $275.0 million of Private Investment in Public Equity ("PIPE") financing and $26.6 million from SPAC's trust account. The Company incurred $52.2 million in total costs related to the Reverse Recapitalization and PIPE financing, of which $37.9 million were costs directly related to the issuance of shares, of which $1.3 million was allocated to the issuance of the earn out shares, and thus expensed to the consolidated statement operations and comprehensive loss, and the remaining $36.7 million was recorded against share capital.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March 2026, we announced negotiations for up to C$390 million from the governments of Canada and Ontario to launch Project OPTIMISM and establish advanced semiconductor and photonic manufacturing infrastructure supporting Canada's quantum supply chain. We expect to receive those funds over time as qualifying investments and R&amp;D activities occur.</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May 20, 2026, the Company entered into a synthetic at-the-market (the "SATM") equity facility with YA II PN, LTD., a Cayman Islands exempt limited company, through its investment manager, Yorkville Advisors Global, LP (“Yorkville Investor”), pursuant to a standby equity purchase agreement, pursuant to which, the Yorkville Investor has committed to purchase up to 30 million Class B Subordinate Voting Shares with an aggregate value of up to $300 million over 36 months (the "SATM Facility”). As of June 30, 2026, the Company has received $67,154 in net proceeds from the Yorkville Investor, through the issuance of 5.5 million Class B Subordinate Voting Shares.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July, we announced an expansion of our U.S. operations, anchored by our growing presence in Albany, New York. This is part of a broader U.S. build-out. Our U.S. workforce has grown more than five-fold since 2023, with a distributed presence now across seventeen states, and we expect our U.S. headcount to continue to grow significantly throughout the remainder of 2026. The expansion into Albany also gives us direct access to established U.S. semiconductor and photonics supply chains, which we believe will help accelerate both our R&amp;D and manufacturing timelines.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Throughout the quarter, we achieved milestones in our product roadmap by introducing key advancements to our quantum applications software stack and hardware architecture. We achieved an algorithmic breakthrough in Quantum Read-Only Memory (QROM), an important component for executing advanced quantum applications. This new implementation is expected to reduce the number of expensive quantum operations by approximately twofold, directly overcoming a significant hardware bottleneck that challenges near-term, utility-scale fault-tolerant quantum computers. We also achieved a separate hardware milestone in ultra-low loss photonic chip packaging, successfully demonstrating an ultra-low edge-coupling loss for our photonic chips to further optimize processing efficiency.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Key Financial and Non-GAAP Metrics</w:t>
      </w:r>
    </w:p>
    <w:p>
      <w:pPr>
        <w:pStyle w:val="TextBody"/>
        <w:bidi w:val="0"/>
        <w:spacing w:lineRule="auto" w:line="288" w:before="0" w:after="160"/>
        <w:ind w:left="0" w:right="0" w:firstLine="384"/>
        <w:jc w:val="both"/>
        <w:rPr/>
      </w:pPr>
      <w:r>
        <w:rPr>
          <w:rFonts w:ascii="Times New Roman;serif" w:hAnsi="Times New Roman;serif"/>
          <w:b w:val="false"/>
          <w:color w:val="000000"/>
          <w:sz w:val="20"/>
        </w:rPr>
        <w:t xml:space="preserve">We monitor revenue, cash and cash equivalents, net loss and Adjusted EBITDA as key financial metrics to evaluate our business, measure our performance, identify trends affecting our business, formulate business plans, and make strategic decisions. The following table summarizes our financial performance for the </w:t>
      </w:r>
      <w:r>
        <w:rPr>
          <w:rFonts w:ascii="Times New Roman;serif" w:hAnsi="Times New Roman;serif"/>
          <w:b w:val="false"/>
          <w:color w:val="231F20"/>
          <w:sz w:val="20"/>
        </w:rPr>
        <w:t>three and six months ended June 30, 2026 and 2025</w:t>
      </w:r>
      <w:r>
        <w:rPr>
          <w:color w:val="000000"/>
        </w:rPr>
        <w:t xml:space="preserve"> </w:t>
      </w:r>
      <w:r>
        <w:rPr>
          <w:rFonts w:ascii="Times New Roman;serif" w:hAnsi="Times New Roman;serif"/>
          <w:b w:val="false"/>
          <w:color w:val="000000"/>
          <w:sz w:val="20"/>
        </w:rPr>
        <w:t xml:space="preserve">for these key metrics. For a detailed discussion of our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ind w:left="0" w:right="0" w:hanging="117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31F20"/>
          <w:sz w:val="18"/>
        </w:rPr>
      </w:pPr>
      <w:r>
        <w:rPr>
          <w:rFonts w:ascii="Times New Roman;serif" w:hAnsi="Times New Roman;serif"/>
          <w:b/>
          <w:color w:val="231F20"/>
          <w:sz w:val="18"/>
        </w:rPr>
        <w:t>MANAGEMENT'S DISCUSSION AND ANALYSIS OF FINANCIAL CONDITION AND RESULTS OF OPERATIONS</w:t>
      </w:r>
    </w:p>
    <w:p>
      <w:pPr>
        <w:pStyle w:val="TextBody"/>
        <w:bidi w:val="0"/>
        <w:spacing w:before="0" w:after="200"/>
        <w:jc w:val="center"/>
        <w:rPr/>
      </w:pPr>
      <w:r>
        <w:rPr/>
      </w:r>
    </w:p>
    <w:p>
      <w:pPr>
        <w:pStyle w:val="TextBody"/>
        <w:bidi w:val="0"/>
        <w:spacing w:lineRule="auto" w:line="288" w:before="0" w:after="160"/>
        <w:jc w:val="both"/>
        <w:rPr/>
      </w:pPr>
      <w:r>
        <w:rPr>
          <w:rFonts w:ascii="Times New Roman;serif" w:hAnsi="Times New Roman;serif"/>
          <w:b w:val="false"/>
          <w:color w:val="000000"/>
          <w:sz w:val="20"/>
        </w:rPr>
        <w:t xml:space="preserve">including further commentary on our revenue and net loss, see the sections entitled “— </w:t>
      </w:r>
      <w:r>
        <w:rPr>
          <w:rFonts w:ascii="Times New Roman;serif" w:hAnsi="Times New Roman;serif"/>
          <w:b w:val="false"/>
          <w:i/>
          <w:color w:val="000000"/>
          <w:sz w:val="20"/>
        </w:rPr>
        <w:t>Components of Results of Operations</w:t>
      </w:r>
      <w:r>
        <w:rPr>
          <w:color w:val="000000"/>
        </w:rPr>
        <w:t xml:space="preserve">” </w:t>
      </w:r>
      <w:r>
        <w:rPr>
          <w:rFonts w:ascii="Times New Roman;serif" w:hAnsi="Times New Roman;serif"/>
          <w:b w:val="false"/>
          <w:color w:val="000000"/>
          <w:sz w:val="20"/>
        </w:rPr>
        <w:t xml:space="preserve">and “— </w:t>
      </w:r>
      <w:r>
        <w:rPr>
          <w:rFonts w:ascii="Times New Roman;serif" w:hAnsi="Times New Roman;serif"/>
          <w:b w:val="false"/>
          <w:i/>
          <w:color w:val="000000"/>
          <w:sz w:val="20"/>
        </w:rPr>
        <w:t>Results of Operations</w:t>
      </w:r>
      <w:r>
        <w:rPr>
          <w:color w:val="000000"/>
        </w:rPr>
        <w:t xml:space="preserve">” </w:t>
      </w:r>
      <w:r>
        <w:rPr>
          <w:rFonts w:ascii="Times New Roman;serif" w:hAnsi="Times New Roman;serif"/>
          <w:b w:val="false"/>
          <w:color w:val="000000"/>
          <w:sz w:val="20"/>
        </w:rPr>
        <w:t>below.</w:t>
      </w:r>
    </w:p>
    <w:tbl>
      <w:tblPr>
        <w:tblW w:w="8519" w:type="dxa"/>
        <w:jc w:val="left"/>
        <w:tblInd w:w="0" w:type="dxa"/>
        <w:tblLayout w:type="fixed"/>
        <w:tblCellMar>
          <w:top w:w="28" w:type="dxa"/>
          <w:left w:w="28" w:type="dxa"/>
          <w:bottom w:w="28" w:type="dxa"/>
          <w:right w:w="28" w:type="dxa"/>
        </w:tblCellMar>
      </w:tblPr>
      <w:tblGrid>
        <w:gridCol w:w="821"/>
        <w:gridCol w:w="721"/>
        <w:gridCol w:w="723"/>
        <w:gridCol w:w="109"/>
        <w:gridCol w:w="109"/>
        <w:gridCol w:w="109"/>
        <w:gridCol w:w="109"/>
        <w:gridCol w:w="109"/>
        <w:gridCol w:w="149"/>
        <w:gridCol w:w="149"/>
        <w:gridCol w:w="149"/>
        <w:gridCol w:w="149"/>
        <w:gridCol w:w="288"/>
        <w:gridCol w:w="842"/>
        <w:gridCol w:w="14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1308" w:type="dxa"/>
            <w:gridSpan w:val="6"/>
            <w:tcBorders/>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2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1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312,780 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50,594 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(42,051)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color w:val="000000"/>
          <w:sz w:val="14"/>
        </w:rPr>
        <w:t xml:space="preserve">(1) </w:t>
      </w:r>
      <w:r>
        <w:rPr>
          <w:rFonts w:ascii="Times New Roman;serif" w:hAnsi="Times New Roman;serif"/>
          <w:b w:val="false"/>
          <w:color w:val="000000"/>
          <w:sz w:val="20"/>
        </w:rPr>
        <w:t>Adjusted EBITDA is a non-GAAP financial measure and is not a standardized measure and might not be comparable to similar financial measures disclosed by other issuers. See “Net Loss and Non-GAAP Financial Measure Adjusted EBITDA” and “Results and Reconciliation of Non-GAAP Financial Measure Adjusted EBITDA” for more information.</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currently in a pre-commercial stage and do not yet offer quantum computers available for commercial sale. Our primary activities are centered on the development of fault-tolerant, utility-scale photonic quantum computing systems. We consider our revenue as an indicator of technological viability on the path to commercial utility scale quantum computing. We are focused on our customer acquisition and retention efforts as we continue development of our full stack quantum computing offerings. While we are focused on revenue growth, we expect that in the near term, revenue will not be a reliable indicator of our performance, particularly from period-to-period, as we are still in the early stages of developing fault-tolerant, utility scale quantum computers and other products utilizing quantum technology that can be commercially successful at scale.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principal development project is the creation of a full-stack quantum computing solution that integrates proprietary photonic hardware with a modality-agnostic software platform. Our hardware progress is demonstrated through the Borealis and Aurora quantum computers. The software stack is anchored by PennyLane, a modality agnostic, open-source framework used by quantum application researchers globally. Our technical roadmap focuses on scaling networked, modular systems into large-scale, fault-tolerant machines. In 2022, our 216-qubit Borealis system achieved a milestone in quantum supremacy. In 2025, our Aurora system became the world’s first networked, modular photonic quantum computer, demonstrating real-time error detection.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architecture is currently designed with a target to scale to up to 100,000 physical qubits and up to 500 logical qubits in its next iteration. Through fiscal 2026, we expect to achieve device performance improvement and early fault-tolerance building blocks. After which, we will scale error-corrected operations and produce early error-corrected demonstrations and achieve the widely recognized threshold for broad-based capabilities in commercially valuable applications.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Operationally, we are subject to compliance with U.S. and Canadian foreign investment laws, including review by CFIUS and the Investment Canada Act and we will have to adhere to export controls on quantum computing technology and related software solutions. Please also refer to the section titled “Risk Factors” in our Annual Report.</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Cash and cash equivalents</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 xml:space="preserve">Our cash and cash equivalents balance is a critical measure of our liquidity. We consider cash and cash equivalents to be an important measure for investors because it measures the amount of cash we have on hand for the significant capital expenditures required for research and development costs, scaling our infrastructure and technology and other business needs. Our cash and cash equivalents balance increased to $312.8 million as of June 30, 2026, from $16.2 million as of December 31, 2025, a net increase of $296.6 million. The increase is primarily driven by proceeds received from the Reverse Recapitalization and PIPE transaction and the SATM Facility. Our cash and cash equivalents are generally held in interest-bearing accounts which generated $2.6 million and $597 thousand for the three months ended June 30, 2026 and 2025 and; $2.8 million and $1.3 million for the six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ind w:left="0" w:right="0" w:hanging="117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31F20"/>
          <w:sz w:val="18"/>
        </w:rPr>
      </w:pPr>
      <w:r>
        <w:rPr>
          <w:rFonts w:ascii="Times New Roman;serif" w:hAnsi="Times New Roman;serif"/>
          <w:b/>
          <w:color w:val="231F20"/>
          <w:sz w:val="18"/>
        </w:rPr>
        <w:t>MANAGEMENT'S DISCUSSION AND ANALYSIS OF FINANCIAL CONDITION AND RESULTS OF OPERATIONS</w:t>
      </w:r>
    </w:p>
    <w:p>
      <w:pPr>
        <w:pStyle w:val="TextBody"/>
        <w:bidi w:val="0"/>
        <w:spacing w:before="0" w:after="200"/>
        <w:jc w:val="center"/>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months ended June 30, 2026 and 2025, respectively. Our reporting and functional currency is the U.S. dollar and our sources of funds are primarily denominated in U.S. dollars. A significant portion of our operations occur in Canada, subjecting our cash position and related interest income to foreign currency risk, primarily related to fluctuations between the U.S. dollar and the Canadian dollar. We are continuing to invest in our treasury strategy as we raise additional funding to support our operations.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Net Loss and Non-GAAP Financial Measure Adjusted EBITDA</w:t>
      </w:r>
    </w:p>
    <w:p>
      <w:pPr>
        <w:pStyle w:val="TextBody"/>
        <w:bidi w:val="0"/>
        <w:spacing w:lineRule="auto" w:line="288" w:before="0" w:after="160"/>
        <w:ind w:left="0" w:right="0" w:firstLine="384"/>
        <w:jc w:val="both"/>
        <w:rPr/>
      </w:pPr>
      <w:r>
        <w:rPr>
          <w:rFonts w:ascii="Times New Roman;serif" w:hAnsi="Times New Roman;serif"/>
          <w:b w:val="false"/>
          <w:color w:val="000000"/>
          <w:sz w:val="20"/>
        </w:rPr>
        <w:t xml:space="preserve">We use net loss to assess our operating performance. In addition to net loss, we provide Adjusted EBITDA, which is a financial measure that is not required by or presented in accordance with U.S. GAAP. Management believes that this measure provides investors with an additional meaningful method to evaluate certain aspects of our results period over period. We define Adjusted EBITDA as net loss before interest expense, income tax expense (benefit), depreciation and amortization expense, stock-based compensation, change in the fair value of financial instruments, and other non-recurring income and expenses. We use Adjusted EBITDA to measure the operating performance of our business, excluding specifically identified items that we do not believe directly reflect our core operations and may not be indicative of our recurring operations. Similar to revenue, while we use net loss and Adjusted EBITDA to measure our operating performance, we expect that in the near term, net loss and Adjusted EBITDA will not be reliable indicators of our performance, particularly from period-to-period, as we primarily focus on developing and readying our technology for commercial success. For additional information regarding Adjusted EBITDA and a reconciliation of Adjusted EBITDA to net loss, see the section entitled “— </w:t>
      </w:r>
      <w:r>
        <w:rPr>
          <w:rFonts w:ascii="Times New Roman;serif" w:hAnsi="Times New Roman;serif"/>
          <w:b w:val="false"/>
          <w:i/>
          <w:color w:val="000000"/>
          <w:sz w:val="20"/>
        </w:rPr>
        <w:t>Results and Reconciliation of Non-GAAP Financial Measure Adjusted EBITDA</w:t>
      </w:r>
      <w:r>
        <w:rPr>
          <w:rFonts w:ascii="Times New Roman;serif" w:hAnsi="Times New Roman;serif"/>
          <w:b w:val="false"/>
          <w:color w:val="000000"/>
          <w:sz w:val="20"/>
        </w:rPr>
        <w:t>.”</w:t>
      </w:r>
    </w:p>
    <w:p>
      <w:pPr>
        <w:pStyle w:val="TextBody"/>
        <w:bidi w:val="0"/>
        <w:spacing w:lineRule="auto" w:line="288" w:before="180" w:after="120"/>
        <w:ind w:left="0" w:right="0" w:firstLine="360"/>
        <w:jc w:val="both"/>
        <w:rPr/>
      </w:pPr>
      <w:r>
        <w:rPr>
          <w:rFonts w:ascii="Times New Roman;serif" w:hAnsi="Times New Roman;serif"/>
          <w:b w:val="false"/>
          <w:color w:val="000000"/>
          <w:sz w:val="20"/>
        </w:rPr>
        <w:t>Effective in the first quarter of 2026, the Company updated the definition of Adjusted EBITDA to exclude all "changes in fair value of financial instruments". Previously, the Company’s definition only excluded the "change in fair value of warrant liabilities." Management believes this broader exclusion provides a more consistent view of operating performance by removing non-cash market volatility across all financial instruments. There was no impact to Adjusted EBITDA for the three and six months ended June 30,</w:t>
      </w:r>
      <w:r>
        <w:rPr>
          <w:color w:val="000000"/>
        </w:rPr>
        <w:t xml:space="preserve"> </w:t>
      </w:r>
      <w:r>
        <w:rPr>
          <w:rFonts w:ascii="Times New Roman;serif" w:hAnsi="Times New Roman;serif"/>
          <w:b w:val="false"/>
          <w:color w:val="000000"/>
          <w:sz w:val="20"/>
        </w:rPr>
        <w:t>2025 as a result of this change, as the Company did not hold other financial instruments subject to fair value changes during that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Trends and Key Factors Affecting Operating Results</w:t>
      </w:r>
    </w:p>
    <w:p>
      <w:pPr>
        <w:pStyle w:val="TextBody"/>
        <w:bidi w:val="0"/>
        <w:spacing w:lineRule="auto" w:line="288" w:before="0" w:after="160"/>
        <w:ind w:left="0" w:right="0" w:firstLine="384"/>
        <w:jc w:val="both"/>
        <w:rPr/>
      </w:pPr>
      <w:r>
        <w:rPr>
          <w:rFonts w:ascii="Times New Roman;serif" w:hAnsi="Times New Roman;serif"/>
          <w:b w:val="false"/>
          <w:color w:val="000000"/>
          <w:sz w:val="20"/>
        </w:rPr>
        <w:t>We believe that our performance and future success depend on several factors that present significant opportunities for us but also pose risks and challenges, including those discussed below and the section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 xml:space="preserve">in our Annual Report. </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Technology Milestones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is dependent on our ability to demonstrate the technological feasibility of our products and services, as well as R&amp;D of our technology. These milestones include achieving further error correction overhead breakthroughs and concurrent integration of our software stack with performance hardware. In addition, we remain steadfast in our commitment to developing commercially valuable applications, including executing our next generation architecture which is designed to scale up to 100,000 physical qubits and up to 500 logical qubits. Our technical milestones reflect a prudent calibration to ensure that our forthcoming deployments meet rigorous stability and performance standards essential for enterprise-grade integration.</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Partnership Opportunities</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Our future growth depends in part on our ability to continue to successfully identify and enter into strategic partnership opportunities. We have historically entered into partnerships with major multinational companies, government agencies and academic organizations to help enhance our capabilities, improve operational efficiencies, increase supply chain resilience and expand our addressable market. We expect we will continue to explore and enter new academic and commercial partnership opportunities that we believe are complementary to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ind w:left="0" w:right="0" w:hanging="117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31F20"/>
          <w:sz w:val="18"/>
        </w:rPr>
      </w:pPr>
      <w:r>
        <w:rPr>
          <w:rFonts w:ascii="Times New Roman;serif" w:hAnsi="Times New Roman;serif"/>
          <w:b/>
          <w:color w:val="231F20"/>
          <w:sz w:val="18"/>
        </w:rPr>
        <w:t>MANAGEMENT'S DISCUSSION AND ANALYSIS OF FINANCIAL CONDITION AND RESULTS OF OPERATIONS</w:t>
      </w:r>
    </w:p>
    <w:p>
      <w:pPr>
        <w:pStyle w:val="TextBody"/>
        <w:bidi w:val="0"/>
        <w:spacing w:before="0" w:after="200"/>
        <w:jc w:val="center"/>
        <w:rPr/>
      </w:pPr>
      <w:r>
        <w:rPr/>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User Acquisition and Retention</w:t>
      </w:r>
    </w:p>
    <w:p>
      <w:pPr>
        <w:pStyle w:val="TextBody"/>
        <w:bidi w:val="0"/>
        <w:spacing w:lineRule="auto" w:line="288" w:before="120" w:after="12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The implementation of our monetization strategy is designed to capture value across the entire quantum technology stack. Our primary strategy for new customer acquisition is based on co-development and intellectual property creation, establishing deep commercial relationships with enterprises and governments focused on solving their most complex challenges. These collaborations are priced commensurate to the work required to complete them. As our applications move from classical simulation to commercial deployment, their workloads will be naturally directed toward our high-performance photonic hardware for which we expect revenue will be generated primarily through QCaaS, offering on-demand and subscription-based utilization of our photonic quantum computers via major cloud platforms and direct enterprise integrations.</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hardware model is complemented by our market-leading software ecosystem, which we intend to monetize through subscription-based enterprise versions and sales of complementary quantum-classical workflow tools, thus converting our vast open-source user base into a recurring, high-margin software stream.</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customers requiring the highest security and data sovereignty, such as defense agencies, we plan to execute dedicated system sales of our physical quantum computers and the integrated software layer, complete with ongoing maintenance and support services.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Availability of Financing</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The successful implementation of our monetization strategy is contingent upon significant and sustained capital investment to achieve the necessary technological and commercial scale. We anticipate substantial capital expenditures in the coming years primarily directed toward accelerating our R&amp;D roadmap, scaling our photonic integrated circuit fabrication processes, and building the modular quantum racks required for utility-scale systems. Realizing our revenue will require material financial commitment to both hardware infrastructure development and the expansion of our scientific and commercial teams to support and service a global customer base. Our ability to secure adequate funding will be critical to achieving the scale necessary to transition from government grants and co-development revenue to consistent, high-volume compute economics.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Macroeconomic Environment</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Results of our operations have varied and may continue to vary based on the impact of changes in the domestic or global economy. Negative conditions in the general economy in Canada, the United States and abroad, including conditions resulting from changes in gross domestic product growth, inflation, interest rates, financial and credit market fluctuations, international trade relations and tariffs, pandemics, political turmoil, natural catastrophes, warfare, and terrorist attacks, could negatively affect our business, including progress toward the development of quantum computing. It is not possible at this time to estimate the long-term impact that these and related events could have on our business, as the impact will depend on future developments, which are highly uncertain and cannot be predicted. If these conditions persist and deepen, we could experience an inability to access additional capital if needed, or our liquidity could otherwise be impacted.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The Company is currently in a pre-commercial stage and does not yet offer quantum computers available for commercial sale beyond those in the early stages of development. Our current revenue is generated through two primary channels: (i) professional services related to research projects, proof of concept development, and quantum education and (ii) compute and other services which includes provision of compute services, such as co-development and execution of quantum algorithms which may later be performed on the Company’s utility scale quantum computing systems, and provision, on a non-exclusive basis, via access to its photonic based-hardware, of QCaaS.</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 xml:space="preserve">QCaaS revenue is recognized on a straight-line basis over the contract term. Professional services revenue is recognized based on completed milestones or hours and or costs incurred as appropriate. Revenue for partially completed milestones deemed probable of being met is recognized using an input measure based on actual labor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ind w:left="0" w:right="0" w:hanging="117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31F20"/>
          <w:sz w:val="18"/>
        </w:rPr>
      </w:pPr>
      <w:r>
        <w:rPr>
          <w:rFonts w:ascii="Times New Roman;serif" w:hAnsi="Times New Roman;serif"/>
          <w:b/>
          <w:color w:val="231F20"/>
          <w:sz w:val="18"/>
        </w:rPr>
        <w:t>MANAGEMENT'S DISCUSSION AND ANALYSIS OF FINANCIAL CONDITION AND RESULTS OF OPERATIONS</w:t>
      </w:r>
    </w:p>
    <w:p>
      <w:pPr>
        <w:pStyle w:val="TextBody"/>
        <w:bidi w:val="0"/>
        <w:spacing w:before="0" w:after="200"/>
        <w:jc w:val="center"/>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hours incurred to date relative to total estimated labor hours required to complete the milestone. For fixed price milestone-based contracts, revenue is recognized based on the input measure noted above as control is expected to transfer over the period that the milestone is completed.</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Our operating expenses consist of cost of revenue, R&amp;D, general and administrative, sales and marketing expenses, depreciation and amortization, and other operating income.</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Cost of Revenue</w:t>
      </w:r>
    </w:p>
    <w:p>
      <w:pPr>
        <w:pStyle w:val="TextBody"/>
        <w:bidi w:val="0"/>
        <w:spacing w:lineRule="auto" w:line="276" w:before="0" w:after="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The cost of pre-commercial revenue includes all direct and indirect expenses related to delivering our services and where applicable, the cost of building specialized quantum hardware. This encompasses payroll-related expenses, including stock-based compensation, direct manufacturing costs and overhead costs allocated to customer- facing functions. Depreciation and amortization of quantum systems and related software are excluded from cost of revenue. Due to our effort to concentrate only on revenue projects that are aligned with our core R&amp;D roadmap, these costs remain low as we incur only limited incremental costs over and above our planned R&amp;D spend to meet our revenue obligations to our customers.</w:t>
      </w:r>
    </w:p>
    <w:p>
      <w:pPr>
        <w:pStyle w:val="TextBody"/>
        <w:bidi w:val="0"/>
        <w:spacing w:before="0" w:after="0"/>
        <w:ind w:left="0" w:right="0" w:firstLine="384"/>
        <w:jc w:val="left"/>
        <w:rPr/>
      </w:pPr>
      <w:r>
        <w:rPr/>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R&amp;D expenses consist of costs incurred in performing R&amp;D activities and include personnel-related costs, process development costs, chip fabrication costs, consulting fees, lab materials, software costs, cloud computing costs, and other related costs. R&amp;D expenses also include purchased hardware and software costs related to quantum computing systems constructed for research purposes that are not probable of providing a future economic benefit and have no alternate future use as well as costs associated with third party R&amp;D arrangements. Where tangible assets or software to be used in research and development activities is constructed by us or acquired, the costs are expensed as incurred unless those assets have an alternative future use. When assets with alternative future use are consumed in research and development activities they are recorded as research and development expenses. We expect an increase in R&amp;D expenditure as we continue to invest in advancing our technology and supporting ongoing product development efforts.</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of personnel costs such as salaries, benefits, and stock-based compensation for employees, as well as overhead costs allocated to corporate, executive, finance, and other administrative functions. We expect these expenses to increase as we continue scaling our support functions to match business growth.</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consist of personnel-related expenses, including salaries, benefits and stock-based compensation for employees involved in sales and marketing activities, costs for direct advertising, marketing and promotional expenditures and allocated overhead costs for our sales and marketing functions. We expect to continue to make investments in sales and marketing to strengthen market presence and expand our customer base.</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expenses arise from depreciation and amortization of our property and equipment, such as our quantum computing systems, and intangible assets including patents and software over their estimated useful lives.</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Other operating income, net</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Other operating income, net, includes contributions from government, sponsorships of our community events and other transactional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ind w:left="0" w:right="0" w:hanging="117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31F20"/>
          <w:sz w:val="18"/>
        </w:rPr>
      </w:pPr>
      <w:r>
        <w:rPr>
          <w:rFonts w:ascii="Times New Roman;serif" w:hAnsi="Times New Roman;serif"/>
          <w:b/>
          <w:color w:val="231F20"/>
          <w:sz w:val="18"/>
        </w:rPr>
        <w:t>MANAGEMENT'S DISCUSSION AND ANALYSIS OF FINANCIAL CONDITION AND RESULTS OF OPERATIONS</w:t>
      </w:r>
    </w:p>
    <w:p>
      <w:pPr>
        <w:pStyle w:val="TextBody"/>
        <w:bidi w:val="0"/>
        <w:spacing w:before="0" w:after="200"/>
        <w:jc w:val="center"/>
        <w:rPr/>
      </w:pPr>
      <w:r>
        <w:rPr/>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Interest Income (Expense), Net</w:t>
      </w:r>
    </w:p>
    <w:p>
      <w:pPr>
        <w:pStyle w:val="TextBody"/>
        <w:bidi w:val="0"/>
        <w:spacing w:lineRule="auto" w:line="288" w:before="12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income (expense) includes interest income earned on our cash deposits and interest expense and loan remeasurements on our long-term debt.</w:t>
      </w:r>
    </w:p>
    <w:p>
      <w:pPr>
        <w:pStyle w:val="TextBody"/>
        <w:bidi w:val="0"/>
        <w:spacing w:lineRule="auto" w:line="288" w:before="120" w:after="120"/>
        <w:ind w:left="0" w:right="0" w:hanging="1710"/>
        <w:jc w:val="both"/>
        <w:rPr>
          <w:rFonts w:ascii="Times New Roman;serif" w:hAnsi="Times New Roman;serif"/>
          <w:b w:val="false"/>
          <w:i/>
          <w:color w:val="000000"/>
          <w:sz w:val="20"/>
        </w:rPr>
      </w:pPr>
      <w:r>
        <w:rPr>
          <w:rFonts w:ascii="Times New Roman;serif" w:hAnsi="Times New Roman;serif"/>
          <w:b w:val="false"/>
          <w:i/>
          <w:color w:val="000000"/>
          <w:sz w:val="20"/>
        </w:rPr>
        <w:t>Loss on fair value of earn-out share liabilities</w:t>
      </w:r>
    </w:p>
    <w:p>
      <w:pPr>
        <w:pStyle w:val="TextBody"/>
        <w:bidi w:val="0"/>
        <w:spacing w:lineRule="auto" w:line="288" w:before="120" w:after="12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 xml:space="preserve">Loss on fair value of earn-out share liabilities, is related to fair value adjustments from the valuation of our earn-out share liability. </w:t>
      </w:r>
    </w:p>
    <w:p>
      <w:pPr>
        <w:pStyle w:val="TextBody"/>
        <w:bidi w:val="0"/>
        <w:spacing w:lineRule="auto" w:line="288" w:before="120" w:after="120"/>
        <w:ind w:left="0" w:right="0" w:hanging="1710"/>
        <w:jc w:val="both"/>
        <w:rPr>
          <w:rFonts w:ascii="Times New Roman;serif" w:hAnsi="Times New Roman;serif"/>
          <w:b w:val="false"/>
          <w:i/>
          <w:color w:val="000000"/>
          <w:sz w:val="20"/>
        </w:rPr>
      </w:pPr>
      <w:r>
        <w:rPr>
          <w:rFonts w:ascii="Times New Roman;serif" w:hAnsi="Times New Roman;serif"/>
          <w:b w:val="false"/>
          <w:i/>
          <w:color w:val="000000"/>
          <w:sz w:val="20"/>
        </w:rPr>
        <w:t>Loss on derivative instruments, net</w:t>
      </w:r>
    </w:p>
    <w:p>
      <w:pPr>
        <w:pStyle w:val="TextBody"/>
        <w:bidi w:val="0"/>
        <w:spacing w:lineRule="auto" w:line="288" w:before="120" w:after="12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 xml:space="preserve">Loss on derivative instruments, net reflects mark-to-market fair value adjustments and realized losses upon settlement of the derivative contracts as common shares are issued in connection with our SATM facility. </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Other income (expense), net</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Other income (expense), net includes interest income earned on our cash deposits, gain and losses on disposal of equipment and foreign exchange gain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ind w:left="0" w:right="0" w:hanging="117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31F20"/>
          <w:sz w:val="18"/>
        </w:rPr>
      </w:pPr>
      <w:r>
        <w:rPr>
          <w:rFonts w:ascii="Times New Roman;serif" w:hAnsi="Times New Roman;serif"/>
          <w:b/>
          <w:color w:val="231F20"/>
          <w:sz w:val="18"/>
        </w:rPr>
        <w:t>MANAGEMENT'S DISCUSSION AND ANALYSIS OF FINANCIAL CONDITION AND RESULTS OF OPERATIONS</w:t>
      </w:r>
    </w:p>
    <w:p>
      <w:pPr>
        <w:pStyle w:val="TextBody"/>
        <w:bidi w:val="0"/>
        <w:spacing w:before="0" w:after="200"/>
        <w:jc w:val="center"/>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Results of Operations - Three Months Ended June 30, 2026 vs. 2025</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for the periods indicated:</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Comparison of the three months ended June 30, 2026 and 2025:</w:t>
      </w:r>
    </w:p>
    <w:tbl>
      <w:tblPr>
        <w:tblW w:w="10205" w:type="dxa"/>
        <w:jc w:val="left"/>
        <w:tblInd w:w="0" w:type="dxa"/>
        <w:tblLayout w:type="fixed"/>
        <w:tblCellMar>
          <w:top w:w="28" w:type="dxa"/>
          <w:left w:w="28" w:type="dxa"/>
          <w:bottom w:w="28" w:type="dxa"/>
          <w:right w:w="28" w:type="dxa"/>
        </w:tblCellMar>
      </w:tblPr>
      <w:tblGrid>
        <w:gridCol w:w="1475"/>
        <w:gridCol w:w="1151"/>
        <w:gridCol w:w="1155"/>
        <w:gridCol w:w="109"/>
        <w:gridCol w:w="109"/>
        <w:gridCol w:w="109"/>
        <w:gridCol w:w="211"/>
        <w:gridCol w:w="770"/>
        <w:gridCol w:w="109"/>
        <w:gridCol w:w="109"/>
        <w:gridCol w:w="109"/>
        <w:gridCol w:w="109"/>
        <w:gridCol w:w="211"/>
        <w:gridCol w:w="770"/>
        <w:gridCol w:w="109"/>
        <w:gridCol w:w="109"/>
        <w:gridCol w:w="109"/>
        <w:gridCol w:w="109"/>
        <w:gridCol w:w="211"/>
        <w:gridCol w:w="770"/>
        <w:gridCol w:w="109"/>
        <w:gridCol w:w="109"/>
        <w:gridCol w:w="109"/>
        <w:gridCol w:w="109"/>
        <w:gridCol w:w="307"/>
        <w:gridCol w:w="312"/>
        <w:gridCol w:w="305"/>
        <w:gridCol w:w="109"/>
        <w:gridCol w:w="109"/>
        <w:gridCol w:w="109"/>
        <w:gridCol w:w="109"/>
        <w:gridCol w:w="109"/>
        <w:gridCol w:w="109"/>
        <w:gridCol w:w="109"/>
        <w:gridCol w:w="159"/>
      </w:tblGrid>
      <w:tr>
        <w:trPr/>
        <w:tc>
          <w:tcPr>
            <w:tcW w:w="1475"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gridSpan w:val="4"/>
            <w:tcBorders/>
          </w:tcPr>
          <w:p>
            <w:pPr>
              <w:pStyle w:val="TableContents"/>
              <w:bidi w:val="0"/>
              <w:spacing w:before="0" w:after="283"/>
              <w:jc w:val="left"/>
              <w:rPr>
                <w:sz w:val="4"/>
                <w:szCs w:val="4"/>
              </w:rPr>
            </w:pPr>
            <w:r>
              <w:rPr>
                <w:sz w:val="4"/>
                <w:szCs w:val="4"/>
              </w:rPr>
            </w:r>
          </w:p>
        </w:tc>
      </w:tr>
      <w:tr>
        <w:trPr/>
        <w:tc>
          <w:tcPr>
            <w:tcW w:w="3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(In thousands; percent changes based on unrounded numbers)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8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0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(exclusive of depreciation and amortization below)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31,502 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16,580 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14,922 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305"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(29,991)</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(15,523)</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(14,468)</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30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fair value of earn-out share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NM</w:t>
            </w:r>
            <w:r>
              <w:rPr>
                <w:color w:val="000000"/>
              </w:rPr>
              <w:t xml:space="preserve">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derivative instruments,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(4707</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(12,060)</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(12,443)</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w:t>
            </w:r>
          </w:p>
        </w:tc>
        <w:tc>
          <w:tcPr>
            <w:tcW w:w="30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(42,051)</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(26,911)</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30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05" w:type="dxa"/>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(41,597)</w:t>
            </w:r>
          </w:p>
        </w:tc>
        <w:tc>
          <w:tcPr>
            <w:tcW w:w="109"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(14,224)</w:t>
            </w:r>
          </w:p>
        </w:tc>
        <w:tc>
          <w:tcPr>
            <w:tcW w:w="109"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(27,373)</w:t>
            </w:r>
          </w:p>
        </w:tc>
        <w:tc>
          <w:tcPr>
            <w:tcW w:w="109"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305"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70"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Not meaningful</w:t>
      </w:r>
    </w:p>
    <w:p>
      <w:pPr>
        <w:pStyle w:val="TextBody"/>
        <w:bidi w:val="0"/>
        <w:spacing w:before="170" w:after="283"/>
        <w:jc w:val="left"/>
        <w:rPr/>
      </w:pPr>
      <w:r>
        <w:rPr/>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Revenue increased by $454 thousand, or 43%, for the three months ended June 30, 2026 as compared to the three months ended June 30, 2025. The increase in revenue was primarily due to our advancement to Stage B of the U.S. Defense Advanced Research Projects Agency ("DARPA") led program assessing and validating quantum computing system performance against standardized metrics.</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Cost of Revenue</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 xml:space="preserve">Cost of revenue increased by $68 thousand, or 111%, for the three months ended June 30, 2026 as compared to the three months ended June 30, 2025. The increase was primarily due to materials costs related to our DARPA program.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percentage of total revenue, cost of revenue was 8% and 6% for the three months ended June 30, 2026 and 2025, respectively. These costs remain low as the revenue contracts the Company enters into are aligned with our underlying R&amp;D roadmap and only incremental costs to complete the performance obligations are included in cost of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ind w:left="0" w:right="0" w:hanging="117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31F20"/>
          <w:sz w:val="18"/>
        </w:rPr>
      </w:pPr>
      <w:r>
        <w:rPr>
          <w:rFonts w:ascii="Times New Roman;serif" w:hAnsi="Times New Roman;serif"/>
          <w:b/>
          <w:color w:val="231F20"/>
          <w:sz w:val="18"/>
        </w:rPr>
        <w:t>MANAGEMENT'S DISCUSSION AND ANALYSIS OF FINANCIAL CONDITION AND RESULTS OF OPERATIONS</w:t>
      </w:r>
    </w:p>
    <w:p>
      <w:pPr>
        <w:pStyle w:val="TextBody"/>
        <w:bidi w:val="0"/>
        <w:spacing w:before="0" w:after="200"/>
        <w:jc w:val="center"/>
        <w:rPr/>
      </w:pPr>
      <w:r>
        <w:rPr/>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increased by $6.7 million, or 52%, for the three months ended June 30, 2026 as compared to the three months ended June 30, 2025. The increase was primarily driven by higher payroll-related expenses, including stock-based compensation, compared to the prior period. The higher payroll-related expenses were primarily due to increased headcount, which increased 24% period-over-period, and restricted share unit ("RSU") grants awarded in the second quarter of 2026. Higher material consumption also contributed to the increase. </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by $8.9 million, or 406%, for the three months ended June 30, 2026 as compared to the three months ended June 30, 2025. The increase was primarily driven by higher professional fees, including audit, regulatory, legal and capital markets fees associated with the SATM and operations as a public company, as well as an advisory fee related to the Reverse Recapitalization. The increase was also driven by higher payroll-related costs, including stock-based compensation, resulting from RSUs granted during the quarter and a 63% increase in general and administrative headcount compared to the prior-year period.</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$175 thousand, or 47%, for the three months ended June 30, 2026 as compared to the three months ended June 30, 2025. The increase was primarily due to higher public relations and marketing related costs to help support our growth as a newly publicly listed company as well as increased payroll-related costs, including stock based compensation.</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expenses increased by $380 thousand, or 30%, for the three months ended June 30, 2026 as compared to the three months ended June 30, 2025 primarily due to an increase in capitalized internal-use software expenses, quantum equipment, and office furniture and fixtures. </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Other Operating Income, Net</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Other operating income, net increased by $1.3 million, or 417%, for the three months ended June 30, 2026 as compared to the three months ended June 30, 2025 primarily due to an increase in government grants received.</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Interest Income (Expense), Net</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(expense), net increased by $2.0 million, or 579%, for the three months ended June 30, 2026 as compared to the three months ended June 30, 2025. The increase was primarily attributable to higher average cash balances throughout the second quarter of 2026 compared to the second quarter of 2025 due to proceeds received from the Reverse Recapitalization and PIPE transaction in March 2026.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Loss on Fair Value of Earn-out Share Liabilities, Net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loss on fair value of earn-out share liabilities of $10.6 million was recorded for the three months ended June 30, 2026. This loss is related to a fair value adjustment from the final fair valuation of our earn out shares liability.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Loss on Derivative Instruments, Net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loss on derivative instruments, net of $1.9 million was recorded for the three months ended June 30, 2026. The loss relates to mark-to-market fair value adjustments and realized losses upon settlement of the derivative contracts as common shares are issued in connection with our SATM facility. </w:t>
      </w:r>
    </w:p>
    <w:p>
      <w:pPr>
        <w:pStyle w:val="TextBody"/>
        <w:bidi w:val="0"/>
        <w:spacing w:before="17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ind w:left="0" w:right="0" w:hanging="117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31F20"/>
          <w:sz w:val="18"/>
        </w:rPr>
      </w:pPr>
      <w:r>
        <w:rPr>
          <w:rFonts w:ascii="Times New Roman;serif" w:hAnsi="Times New Roman;serif"/>
          <w:b/>
          <w:color w:val="231F20"/>
          <w:sz w:val="18"/>
        </w:rPr>
        <w:t>MANAGEMENT'S DISCUSSION AND ANALYSIS OF FINANCIAL CONDITION AND RESULTS OF OPERATIONS</w:t>
      </w:r>
    </w:p>
    <w:p>
      <w:pPr>
        <w:pStyle w:val="TextBody"/>
        <w:bidi w:val="0"/>
        <w:spacing w:before="0" w:after="200"/>
        <w:jc w:val="center"/>
        <w:rPr/>
      </w:pPr>
      <w:r>
        <w:rPr/>
      </w:r>
    </w:p>
    <w:p>
      <w:pPr>
        <w:pStyle w:val="TextBody"/>
        <w:bidi w:val="0"/>
        <w:spacing w:lineRule="auto" w:line="288" w:before="120" w:after="120"/>
        <w:ind w:left="0" w:right="0" w:hanging="1710"/>
        <w:jc w:val="both"/>
        <w:rPr>
          <w:rFonts w:ascii="Times New Roman;serif" w:hAnsi="Times New Roman;serif"/>
          <w:b w:val="false"/>
          <w:i/>
          <w:color w:val="000000"/>
          <w:sz w:val="20"/>
        </w:rPr>
      </w:pPr>
      <w:r>
        <w:rPr>
          <w:rFonts w:ascii="Times New Roman;serif" w:hAnsi="Times New Roman;serif"/>
          <w:b w:val="false"/>
          <w:i/>
          <w:color w:val="000000"/>
          <w:sz w:val="20"/>
        </w:rPr>
        <w:t>Other Income (Expense), Net</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(expense), net was a loss of $1.9 million for the three months ended June 30, 2026, compared to a gain of $41 thousand for the prior year period. The change was primarily driven by foreign exchange losses during the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Results of Operations - Six Months Ended June 30, 2026 vs. 2025</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for the periods indicated:</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Comparison of the six months ended June 30, 2026 and 2025:</w:t>
      </w:r>
    </w:p>
    <w:tbl>
      <w:tblPr>
        <w:tblW w:w="10205" w:type="dxa"/>
        <w:jc w:val="left"/>
        <w:tblInd w:w="0" w:type="dxa"/>
        <w:tblLayout w:type="fixed"/>
        <w:tblCellMar>
          <w:top w:w="28" w:type="dxa"/>
          <w:left w:w="28" w:type="dxa"/>
          <w:bottom w:w="28" w:type="dxa"/>
          <w:right w:w="28" w:type="dxa"/>
        </w:tblCellMar>
      </w:tblPr>
      <w:tblGrid>
        <w:gridCol w:w="1522"/>
        <w:gridCol w:w="1205"/>
        <w:gridCol w:w="1209"/>
        <w:gridCol w:w="109"/>
        <w:gridCol w:w="109"/>
        <w:gridCol w:w="109"/>
        <w:gridCol w:w="211"/>
        <w:gridCol w:w="772"/>
        <w:gridCol w:w="109"/>
        <w:gridCol w:w="109"/>
        <w:gridCol w:w="109"/>
        <w:gridCol w:w="109"/>
        <w:gridCol w:w="211"/>
        <w:gridCol w:w="772"/>
        <w:gridCol w:w="109"/>
        <w:gridCol w:w="109"/>
        <w:gridCol w:w="109"/>
        <w:gridCol w:w="109"/>
        <w:gridCol w:w="211"/>
        <w:gridCol w:w="772"/>
        <w:gridCol w:w="109"/>
        <w:gridCol w:w="109"/>
        <w:gridCol w:w="109"/>
        <w:gridCol w:w="109"/>
        <w:gridCol w:w="232"/>
        <w:gridCol w:w="233"/>
        <w:gridCol w:w="299"/>
        <w:gridCol w:w="109"/>
        <w:gridCol w:w="109"/>
        <w:gridCol w:w="109"/>
        <w:gridCol w:w="109"/>
        <w:gridCol w:w="109"/>
        <w:gridCol w:w="109"/>
        <w:gridCol w:w="109"/>
        <w:gridCol w:w="158"/>
      </w:tblGrid>
      <w:tr>
        <w:trPr/>
        <w:tc>
          <w:tcPr>
            <w:tcW w:w="152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3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(In thousands; percent changes based on unrounded numbers)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3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2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(exclusive of depreciation and amortization below)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57,600 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30,043 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27,557 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(53,257)</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(28,288)</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(24,969)</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fair value of earn-out share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derivative instruments,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(9,398)</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(10,341)</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(62,655)</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(27,345)</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(62,418)</w:t>
            </w:r>
          </w:p>
        </w:tc>
        <w:tc>
          <w:tcPr>
            <w:tcW w:w="109"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(26,366)</w:t>
            </w:r>
          </w:p>
        </w:tc>
        <w:tc>
          <w:tcPr>
            <w:tcW w:w="109"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(36,052)</w:t>
            </w:r>
          </w:p>
        </w:tc>
        <w:tc>
          <w:tcPr>
            <w:tcW w:w="109"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70"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Not meaningful</w:t>
      </w:r>
    </w:p>
    <w:p>
      <w:pPr>
        <w:pStyle w:val="TextBody"/>
        <w:bidi w:val="0"/>
        <w:spacing w:before="170" w:after="283"/>
        <w:jc w:val="left"/>
        <w:rPr/>
      </w:pPr>
      <w:r>
        <w:rPr/>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Revenue increased by $2.6 million, or 147%, for the six months ended June 30, 2026 as compared to the six months ended June 30, 2025. The increase in revenue was primarily attributable to our advancement to Stage B of the U.S. Defense Advanced Research Projects Agency led program assessing and validating quantum computing system performance against standardized metrics.</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Cost of Revenue</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 xml:space="preserve">Cost of revenue increased by $130 thousand, or 119%, for the six months ended June 30, 2026 as compared to the six months ended June 30, 2025. The increase was primarily due to higher materials costs related to our DARPA program as well as higher labor costs incurred in connection with the performance of our various service contracts.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ind w:left="0" w:right="0" w:hanging="117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31F20"/>
          <w:sz w:val="18"/>
        </w:rPr>
      </w:pPr>
      <w:r>
        <w:rPr>
          <w:rFonts w:ascii="Times New Roman;serif" w:hAnsi="Times New Roman;serif"/>
          <w:b/>
          <w:color w:val="231F20"/>
          <w:sz w:val="18"/>
        </w:rPr>
        <w:t>MANAGEMENT'S DISCUSSION AND ANALYSIS OF FINANCIAL CONDITION AND RESULTS OF OPERATIONS</w:t>
      </w:r>
    </w:p>
    <w:p>
      <w:pPr>
        <w:pStyle w:val="TextBody"/>
        <w:bidi w:val="0"/>
        <w:spacing w:before="0" w:after="200"/>
        <w:jc w:val="center"/>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percentage of total revenue, cost of revenue was 6% for each of the six months ended June 30, 2026 and 2025. These costs remain low as the revenue contracts the Company enters into are aligned with our underlying R&amp;D roadmap and only incremental costs to complete the performance obligations are included in cost of revenue.</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increased by $14.6 million, or 63%, for the six months ended June 30, 2026 as compared to the six months ended June 30, 2025. The increase was primarily driven by higher hardware utilization costs, specifically increased wafer consumption and process development costs, in addition to higher payroll-related expenses, including increased headcount and stock-based compensation due to second quarter 2026 RSU grants. Research and development headcount increased by 24%, as compared to the second quarter of 2025.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increased by $16.2 million, or 400%, for the six months ended June 30, 2026 as compared to the six months ended June 30, 2025. The increase was primarily driven by higher professional fees, including audit, regulatory, legal, advisory and capital market fees associated with our Reverse Recapitalization, SATM, and operations as a public company. The increase was also driven by higher payroll-related costs, including stock-based compensation, resulting from RSUs granted during the quarter and a 63% increase in general and administrative headcount compared to the prior-year period. </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increased by $1.3 million, or 203%, for the six months ended June 30, 2026 as compared to the six months ended June 30, 2025. The increase was primarily driven by higher public relations, promotion and marketing costs related to our Reverse Recapitalization and operating as a public company. </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expenses increased by $721 thousand, or 28%, for the six months ended June 30, 2026 as compared to the six months ended June 30, 2025 primarily due to an increase in test equipment and capitalized internal-use software expenses.</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Other Operating Income, Net</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Other operating income, net increased by $5.4 million or 1701% for the six months ended June 30, 2026 as compared to the six months ended June 30, 2025 primarily due to an increase in government grants received, which was partially offset by a loss related to revaluations of the Company’s warrants outstanding.</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Interest Income (Expense), Net</w:t>
      </w:r>
    </w:p>
    <w:p>
      <w:pPr>
        <w:pStyle w:val="TextBody"/>
        <w:bidi w:val="0"/>
        <w:spacing w:lineRule="auto" w:line="288" w:before="120" w:after="12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(expense), net increased by $1.2 million, or 138%, for the six months ended June 30, 2026 as compared to the six months ended June 30, 2025. The increase was primarily attributable to higher average cash balances throughout the first six months of 2026 compared to the 2025 period due to the Reverse Recapitalization and PIPE transaction in March 2026. </w:t>
      </w:r>
    </w:p>
    <w:p>
      <w:pPr>
        <w:pStyle w:val="TextBody"/>
        <w:bidi w:val="0"/>
        <w:spacing w:lineRule="auto" w:line="288" w:before="120" w:after="120"/>
        <w:ind w:left="0" w:right="0" w:hanging="0"/>
        <w:jc w:val="both"/>
        <w:rPr>
          <w:rFonts w:ascii="Times New Roman;serif" w:hAnsi="Times New Roman;serif"/>
          <w:b w:val="false"/>
          <w:i/>
          <w:color w:val="000000"/>
          <w:sz w:val="20"/>
        </w:rPr>
      </w:pPr>
      <w:r>
        <w:rPr>
          <w:rFonts w:ascii="Times New Roman;serif" w:hAnsi="Times New Roman;serif"/>
          <w:b w:val="false"/>
          <w:i/>
          <w:color w:val="000000"/>
          <w:sz w:val="20"/>
        </w:rPr>
        <w:t>Loss on Fair Value of Earn-out Share Liabilities, Net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net loss on fair value of earn-out share liabilities of $7.8 million was recorded for the six months ended June 30, 2026. This net loss is related to a fair value adjustment from the valuation of our earn out shares liability, from March 26, 2026 (the Closing) to their vesting dates for Tranche 1 (May 7, 2026) and Tranche 2 (May 13,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ind w:left="0" w:right="0" w:hanging="117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31F20"/>
          <w:sz w:val="18"/>
        </w:rPr>
      </w:pPr>
      <w:r>
        <w:rPr>
          <w:rFonts w:ascii="Times New Roman;serif" w:hAnsi="Times New Roman;serif"/>
          <w:b/>
          <w:color w:val="231F20"/>
          <w:sz w:val="18"/>
        </w:rPr>
        <w:t>MANAGEMENT'S DISCUSSION AND ANALYSIS OF FINANCIAL CONDITION AND RESULTS OF OPERATIONS</w:t>
      </w:r>
    </w:p>
    <w:p>
      <w:pPr>
        <w:pStyle w:val="TextBody"/>
        <w:bidi w:val="0"/>
        <w:spacing w:before="0" w:after="200"/>
        <w:jc w:val="center"/>
        <w:rPr/>
      </w:pPr>
      <w:r>
        <w:rPr/>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Loss on Derivative Instruments, Net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net loss on derivative instruments of $1.9 million was recorded for the six months ended June 30, 2026. The loss relates to mark-to-market fair value adjustments and realized losses upon settlement of the derivative contracts as Xanadu Class B Subordinate Voting Shares are issued in connection with our SATM facility. </w:t>
      </w:r>
    </w:p>
    <w:p>
      <w:pPr>
        <w:pStyle w:val="TextBody"/>
        <w:bidi w:val="0"/>
        <w:spacing w:lineRule="auto" w:line="288" w:before="120" w:after="120"/>
        <w:ind w:left="0" w:right="0" w:hanging="1620"/>
        <w:jc w:val="both"/>
        <w:rPr>
          <w:rFonts w:ascii="Times New Roman;serif" w:hAnsi="Times New Roman;serif"/>
          <w:b w:val="false"/>
          <w:i/>
          <w:color w:val="000000"/>
          <w:sz w:val="20"/>
        </w:rPr>
      </w:pPr>
      <w:r>
        <w:rPr>
          <w:rFonts w:ascii="Times New Roman;serif" w:hAnsi="Times New Roman;serif"/>
          <w:b w:val="false"/>
          <w:i/>
          <w:color w:val="000000"/>
          <w:sz w:val="20"/>
        </w:rPr>
        <w:t>Other Income (Expense), Net</w:t>
      </w:r>
    </w:p>
    <w:p>
      <w:pPr>
        <w:pStyle w:val="TextBody"/>
        <w:bidi w:val="0"/>
        <w:spacing w:lineRule="auto" w:line="288" w:before="120" w:after="12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 xml:space="preserve">Other income (expense), net was a loss of $1.9 million for the six months ended June 30, 2026, compared to a gain of $49 thousand for the prior year period. The change was primarily driven by foreign exchange losses during the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170"/>
        <w:jc w:val="left"/>
        <w:rPr>
          <w:rFonts w:ascii="Times New Roman;serif" w:hAnsi="Times New Roman;serif"/>
          <w:b/>
          <w:color w:val="000000"/>
          <w:sz w:val="20"/>
        </w:rPr>
      </w:pPr>
      <w:r>
        <w:rPr>
          <w:rFonts w:ascii="Times New Roman;serif" w:hAnsi="Times New Roman;serif"/>
          <w:b/>
          <w:color w:val="000000"/>
          <w:sz w:val="20"/>
        </w:rPr>
        <w:t>Summary of Quarterly Results</w:t>
      </w:r>
    </w:p>
    <w:p>
      <w:pPr>
        <w:pStyle w:val="TextBody"/>
        <w:bidi w:val="0"/>
        <w:spacing w:lineRule="auto" w:line="288" w:before="120" w:after="12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quarterly consolidated statements of operations data for each of the quarters indicated. The information for the quarters ended December 31, 2025 and December 31, 2024 has been derived from our audited annual consolidated financial statements. The information for each of the quarters has been prepared on an unaudited basis consistent with our audited annual consolidated financial statements and, in our opinion, includes all normal recurring adjustments necessary for the fair statement of the financial information contained in those statements. The following quarterly financial data should be read in conjunction with our annual consolidated financial statements and the related notes. These quarterly results are not necessarily indicative of our operating results for a full year or any future period.</w:t>
      </w:r>
    </w:p>
    <w:p>
      <w:pPr>
        <w:pStyle w:val="TextBody"/>
        <w:bidi w:val="0"/>
        <w:spacing w:before="170" w:after="283"/>
        <w:jc w:val="left"/>
        <w:rPr/>
      </w:pPr>
      <w:r>
        <w:rPr/>
      </w:r>
    </w:p>
    <w:tbl>
      <w:tblPr>
        <w:tblW w:w="10205" w:type="dxa"/>
        <w:jc w:val="left"/>
        <w:tblInd w:w="0" w:type="dxa"/>
        <w:tblLayout w:type="fixed"/>
        <w:tblCellMar>
          <w:top w:w="28" w:type="dxa"/>
          <w:left w:w="28" w:type="dxa"/>
          <w:bottom w:w="28" w:type="dxa"/>
          <w:right w:w="28" w:type="dxa"/>
        </w:tblCellMar>
      </w:tblPr>
      <w:tblGrid>
        <w:gridCol w:w="277"/>
        <w:gridCol w:w="243"/>
        <w:gridCol w:w="246"/>
        <w:gridCol w:w="109"/>
        <w:gridCol w:w="109"/>
        <w:gridCol w:w="109"/>
        <w:gridCol w:w="181"/>
        <w:gridCol w:w="556"/>
        <w:gridCol w:w="109"/>
        <w:gridCol w:w="109"/>
        <w:gridCol w:w="109"/>
        <w:gridCol w:w="109"/>
        <w:gridCol w:w="181"/>
        <w:gridCol w:w="556"/>
        <w:gridCol w:w="109"/>
        <w:gridCol w:w="109"/>
        <w:gridCol w:w="109"/>
        <w:gridCol w:w="109"/>
        <w:gridCol w:w="181"/>
        <w:gridCol w:w="556"/>
        <w:gridCol w:w="109"/>
        <w:gridCol w:w="109"/>
        <w:gridCol w:w="109"/>
        <w:gridCol w:w="109"/>
        <w:gridCol w:w="181"/>
        <w:gridCol w:w="557"/>
        <w:gridCol w:w="109"/>
        <w:gridCol w:w="109"/>
        <w:gridCol w:w="109"/>
        <w:gridCol w:w="109"/>
        <w:gridCol w:w="181"/>
        <w:gridCol w:w="556"/>
        <w:gridCol w:w="109"/>
        <w:gridCol w:w="109"/>
        <w:gridCol w:w="109"/>
        <w:gridCol w:w="109"/>
        <w:gridCol w:w="181"/>
        <w:gridCol w:w="556"/>
        <w:gridCol w:w="109"/>
        <w:gridCol w:w="109"/>
        <w:gridCol w:w="109"/>
        <w:gridCol w:w="109"/>
        <w:gridCol w:w="181"/>
        <w:gridCol w:w="556"/>
        <w:gridCol w:w="109"/>
        <w:gridCol w:w="109"/>
        <w:gridCol w:w="109"/>
        <w:gridCol w:w="109"/>
        <w:gridCol w:w="181"/>
        <w:gridCol w:w="557"/>
        <w:gridCol w:w="162"/>
      </w:tblGrid>
      <w:tr>
        <w:trPr/>
        <w:tc>
          <w:tcPr>
            <w:tcW w:w="2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w:t>
              <w:b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September 30,</w:t>
              <w:b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w:t>
              <w:b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w:t>
              <w:b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w:t>
              <w:b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September 30,</w:t>
              <w:br/>
              <w:t>2024</w:t>
            </w:r>
          </w:p>
        </w:tc>
      </w:tr>
      <w:tr>
        <w:trPr/>
        <w:tc>
          <w:tcPr>
            <w:tcW w:w="76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2,832 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1,875 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482 </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(42,051)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(20,604)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(10,436)</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Loss per share,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(0.19)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Quarterly Trends</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Our revenue trend is reflective of our pre-commercial state. Given that we are focused on the longer-term value proposition of utility scale quantum computers, our short-term revenue is generated from strategic revenue arrangements with customers with whom we can co-develop quantum algorithms, validate commercial use cases, and ensure that our technology is aligned with real-world demand.</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Net Loss</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Net loss has generally demonstrated an upward trend over the previous eight fiscal quarters as well as on a year-over-year basis as we accelerate our R&amp;D efforts towards utility scale quantum computing. The increase in net loss is attributable to increases in operating expenses primarily for R&amp;D as we accelerate and upsize our wafer runs and expand our internal capabilities to process them along with continued development of the remainder of our software and hardware capabilities. We have also had increases in general and administrative and sales and marketing expense due to the Reverse Recapitalization and PIPE transaction and SATM facility offerings. Beginning in 2026, we also incurred non-cash non-operating losses related to our earn-out liabilities and derivative financial instruments.</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Quarter ended June 30, 2026</w:t>
      </w:r>
    </w:p>
    <w:p>
      <w:pPr>
        <w:pStyle w:val="TextBody"/>
        <w:bidi w:val="0"/>
        <w:spacing w:lineRule="auto" w:line="288" w:before="120" w:after="120"/>
        <w:ind w:left="0" w:right="0" w:firstLine="450"/>
        <w:jc w:val="both"/>
        <w:rPr/>
      </w:pPr>
      <w:r>
        <w:rPr>
          <w:rFonts w:ascii="Times New Roman;serif" w:hAnsi="Times New Roman;serif"/>
          <w:b w:val="false"/>
          <w:color w:val="000000"/>
          <w:sz w:val="20"/>
        </w:rPr>
        <w:t>The second quarter 2026</w:t>
      </w:r>
      <w:r>
        <w:rPr>
          <w:color w:val="000000"/>
        </w:rPr>
        <w:t xml:space="preserve"> </w:t>
      </w:r>
      <w:r>
        <w:rPr>
          <w:rFonts w:ascii="Times New Roman;serif" w:hAnsi="Times New Roman;serif"/>
          <w:b w:val="false"/>
          <w:color w:val="000000"/>
          <w:sz w:val="20"/>
        </w:rPr>
        <w:t xml:space="preserve">net loss increased primarily due to an overall increase in operating expenses compared to prior quarters. The operating expense increase reflects higher R&amp;D spend as well as general and administrative spend. In the second quarter of 2026, we also incurred non-cash non-operating losses related to fair value adjustments for our earn-out liabilities and derivative financial instruments.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ind w:left="0" w:right="0" w:hanging="117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31F20"/>
          <w:sz w:val="18"/>
        </w:rPr>
      </w:pPr>
      <w:r>
        <w:rPr>
          <w:rFonts w:ascii="Times New Roman;serif" w:hAnsi="Times New Roman;serif"/>
          <w:b/>
          <w:color w:val="231F20"/>
          <w:sz w:val="18"/>
        </w:rPr>
        <w:t>MANAGEMENT'S DISCUSSION AND ANALYSIS OF FINANCIAL CONDITION AND RESULTS OF OPERATIONS</w:t>
      </w:r>
    </w:p>
    <w:p>
      <w:pPr>
        <w:pStyle w:val="TextBody"/>
        <w:bidi w:val="0"/>
        <w:spacing w:before="0" w:after="200"/>
        <w:jc w:val="center"/>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Results and Reconciliation of Non-GAAP Financial Measure Adjusted EBITDA</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To supplement our historical consolidated financial statements which are prepared and presented in accordance with U.S. GAAP, we use Adjusted EBITDA, as described below, to understand and evaluate our financial and operating performance. We define Adjusted EBITDA as net loss before interest expense, income tax expense (benefit), depreciation and amortization expense, stock-based compensation, change in fair value of financial instruments and other non-recurring income and expenses. We use Adjusted EBITDA to measure the operating performance of our business, excluding specifically identified items that we do not believe directly reflect our core operations and may not be indicative of our recurring operations. By excluding certain items that are nonrecurring or not reflective of the performance of our normal course of business, we believe that Adjusted EBITDA provides meaningful supplemental information regarding our performance. Accordingly, we believe that Adjusted EBITDA is useful to investors and others because it allows investors to supplement their understanding of our financial trends and evaluate our ongoing and future performance in the same manner as management. However, there are several limitations related to the use of Adjusted EBITDA as it reflects the exercise of judgment by our management about which expenses are excluded or included. Adjusted EBITDA should be considered in addition to, not as a substitute for or in isolation from, our financial results prepared in accordance with GAAP. In addition, our presentation of Adjusted EBITDA may be different from how such metric is used by other companies. The following charts provide unaudited reconciliations of U.S. GAAP-based financial measures to Adjusted EBITDA for the following periods presented.</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Reconciliation of net loss to Non-GAAP Financial Measure Adjusted EBITDA for the three and six months ended June 30, 2026 and 2025:</w:t>
      </w:r>
    </w:p>
    <w:tbl>
      <w:tblPr>
        <w:tblW w:w="9952" w:type="dxa"/>
        <w:jc w:val="left"/>
        <w:tblInd w:w="0" w:type="dxa"/>
        <w:tblLayout w:type="fixed"/>
        <w:tblCellMar>
          <w:top w:w="28" w:type="dxa"/>
          <w:left w:w="28" w:type="dxa"/>
          <w:bottom w:w="28" w:type="dxa"/>
          <w:right w:w="28" w:type="dxa"/>
        </w:tblCellMar>
      </w:tblPr>
      <w:tblGrid>
        <w:gridCol w:w="1492"/>
        <w:gridCol w:w="1315"/>
        <w:gridCol w:w="1318"/>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491"/>
      </w:tblGrid>
      <w:tr>
        <w:trPr/>
        <w:tc>
          <w:tcPr>
            <w:tcW w:w="1492"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111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(42,051)</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(62,655)</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(27,345)</w:t>
            </w:r>
          </w:p>
        </w:tc>
        <w:tc>
          <w:tcPr>
            <w:tcW w:w="4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Excluding:</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Change in fair value of financial instruments </w:t>
            </w:r>
            <w:r>
              <w:rPr>
                <w:rFonts w:ascii="Times New Roman;serif" w:hAnsi="Times New Roman;serif"/>
                <w:b w:val="false"/>
                <w:color w:val="000000"/>
                <w:sz w:val="13"/>
              </w:rPr>
              <w:t>(1)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erif" w:hAnsi="Times New Roman;serif"/>
                <w:b w:val="false"/>
                <w:color w:val="000000"/>
                <w:sz w:val="20"/>
              </w:rPr>
              <w:t xml:space="preserve">Interest (income) expense, net </w:t>
            </w:r>
            <w:r>
              <w:rPr>
                <w:rFonts w:ascii="Times New Roman;serif" w:hAnsi="Times New Roman;serif"/>
                <w:b w:val="false"/>
                <w:color w:val="000000"/>
                <w:sz w:val="13"/>
              </w:rPr>
              <w:t>(2)</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erif" w:hAnsi="Times New Roman;serif"/>
                <w:b w:val="false"/>
                <w:color w:val="000000"/>
                <w:sz w:val="20"/>
              </w:rPr>
              <w:t>Other (income) expense, net</w:t>
            </w:r>
            <w:r>
              <w:rPr>
                <w:rFonts w:ascii="Times New Roman;serif" w:hAnsi="Times New Roman;serif"/>
                <w:b w:val="false"/>
                <w:color w:val="000000"/>
                <w:sz w:val="13"/>
              </w:rPr>
              <w:t>(3)</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erif" w:hAnsi="Times New Roman;serif"/>
                <w:b w:val="false"/>
                <w:color w:val="000000"/>
                <w:sz w:val="20"/>
              </w:rPr>
              <w:t>Non-recurring expenses</w:t>
            </w:r>
            <w:r>
              <w:rPr>
                <w:rFonts w:ascii="Times New Roman;serif" w:hAnsi="Times New Roman;serif"/>
                <w:b w:val="false"/>
                <w:color w:val="000000"/>
                <w:sz w:val="13"/>
              </w:rPr>
              <w:t>(4)</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loss</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(21,333)</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(13,386)</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(35,214)</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(24,046)</w:t>
            </w:r>
          </w:p>
        </w:tc>
        <w:tc>
          <w:tcPr>
            <w:tcW w:w="4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hanging="480"/>
        <w:jc w:val="both"/>
        <w:rPr/>
      </w:pPr>
      <w:r>
        <w:rPr/>
      </w:r>
    </w:p>
    <w:p>
      <w:pPr>
        <w:pStyle w:val="TextBody"/>
        <w:bidi w:val="0"/>
        <w:spacing w:lineRule="auto" w:line="240" w:before="0" w:after="0"/>
        <w:ind w:left="0" w:right="0" w:hanging="450"/>
        <w:jc w:val="both"/>
        <w:rPr/>
      </w:pPr>
      <w:r>
        <w:rPr>
          <w:rFonts w:ascii="Times New Roman;serif" w:hAnsi="Times New Roman;serif"/>
          <w:b w:val="false"/>
          <w:color w:val="000000"/>
          <w:sz w:val="13"/>
        </w:rPr>
        <w:t>(1)</w:t>
      </w:r>
      <w:r>
        <w:rPr>
          <w:rFonts w:ascii="Times New Roman;serif" w:hAnsi="Times New Roman;serif"/>
          <w:b w:val="false"/>
          <w:color w:val="000000"/>
          <w:sz w:val="20"/>
        </w:rPr>
        <w:t>Includes the gain (loss) on the fair value of the warrant, earn-out share liabilities, and derivative instruments.</w:t>
      </w:r>
    </w:p>
    <w:p>
      <w:pPr>
        <w:pStyle w:val="TextBody"/>
        <w:bidi w:val="0"/>
        <w:spacing w:lineRule="auto" w:line="288" w:before="0" w:after="0"/>
        <w:ind w:left="0" w:right="0" w:hanging="450"/>
        <w:jc w:val="left"/>
        <w:rPr/>
      </w:pPr>
      <w:r>
        <w:rPr>
          <w:rFonts w:ascii="Times New Roman;serif" w:hAnsi="Times New Roman;serif"/>
          <w:b w:val="false"/>
          <w:color w:val="000000"/>
          <w:sz w:val="13"/>
        </w:rPr>
        <w:t>(2)</w:t>
      </w:r>
      <w:r>
        <w:rPr>
          <w:rFonts w:ascii="Times New Roman;serif" w:hAnsi="Times New Roman;serif"/>
          <w:b w:val="false"/>
          <w:color w:val="000000"/>
          <w:sz w:val="20"/>
        </w:rPr>
        <w:t>Interest (income) expense, net reflects the impact of interest earned on cash balances and non-cash interest expense relating to the SIF Loan (defined below).</w:t>
      </w:r>
    </w:p>
    <w:p>
      <w:pPr>
        <w:pStyle w:val="TextBody"/>
        <w:bidi w:val="0"/>
        <w:spacing w:lineRule="auto" w:line="288" w:before="0" w:after="0"/>
        <w:ind w:left="0" w:right="0" w:hanging="450"/>
        <w:jc w:val="left"/>
        <w:rPr/>
      </w:pPr>
      <w:r>
        <w:rPr>
          <w:rFonts w:ascii="Times New Roman;serif" w:hAnsi="Times New Roman;serif"/>
          <w:b w:val="false"/>
          <w:color w:val="000000"/>
          <w:sz w:val="13"/>
        </w:rPr>
        <w:t>(3)</w:t>
      </w:r>
      <w:r>
        <w:rPr>
          <w:rFonts w:ascii="Times New Roman;serif" w:hAnsi="Times New Roman;serif"/>
          <w:b w:val="false"/>
          <w:color w:val="000000"/>
          <w:sz w:val="20"/>
        </w:rPr>
        <w:t>Other (income) expense, net primarily consists of foreign exchange gain (loss).</w:t>
      </w:r>
    </w:p>
    <w:p>
      <w:pPr>
        <w:pStyle w:val="TextBody"/>
        <w:bidi w:val="0"/>
        <w:spacing w:lineRule="auto" w:line="288" w:before="0" w:after="160"/>
        <w:ind w:left="0" w:right="0" w:hanging="450"/>
        <w:jc w:val="left"/>
        <w:rPr/>
      </w:pPr>
      <w:r>
        <w:rPr>
          <w:rFonts w:ascii="Times New Roman;serif" w:hAnsi="Times New Roman;serif"/>
          <w:b w:val="false"/>
          <w:color w:val="000000"/>
          <w:sz w:val="13"/>
        </w:rPr>
        <w:t>(4)</w:t>
      </w:r>
      <w:r>
        <w:rPr>
          <w:rFonts w:ascii="Times New Roman;serif" w:hAnsi="Times New Roman;serif"/>
          <w:b w:val="false"/>
          <w:color w:val="000000"/>
          <w:sz w:val="20"/>
        </w:rPr>
        <w:t>Non-recurring expenses include professional fees such as legal, consulting, accounting and advisory fees incurred in connection with indirect costs related to the Reverse Recapitalization and PIPE Transaction, public offering, and the SATM Facility.</w:t>
      </w:r>
    </w:p>
    <w:p>
      <w:pPr>
        <w:pStyle w:val="TextBody"/>
        <w:bidi w:val="0"/>
        <w:spacing w:lineRule="auto" w:line="288" w:before="0" w:after="12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Our Adjusted EBITDA loss has increased period-over-period by $7.9 million from $13.4 million for the quarter ended June 30, 2025, to $21.3 million for the quarter ended June 30, 2026. For the six months ended June 30, 2026, Adjusted EBITDA loss increased by $11.2 million to $35.2 million from $24.0 million in the prior year period. This trend reflects the acceleration of our core R&amp;D activities and strategic investments toward achieving utility-scale quantum computing. It also reflects higher ongoing general and administrative costs, including higher-payroll costs, related to our operating as a public company. As we are in a pre-commercial phase with an ambitious technology roadmap, our Adjusted EBITDA loss is expected to continue to increase for the foreseeable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ind w:left="0" w:right="0" w:hanging="117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31F20"/>
          <w:sz w:val="18"/>
        </w:rPr>
      </w:pPr>
      <w:r>
        <w:rPr>
          <w:rFonts w:ascii="Times New Roman;serif" w:hAnsi="Times New Roman;serif"/>
          <w:b/>
          <w:color w:val="231F20"/>
          <w:sz w:val="18"/>
        </w:rPr>
        <w:t>MANAGEMENT'S DISCUSSION AND ANALYSIS OF FINANCIAL CONDITION AND RESULTS OF OPERATIONS</w:t>
      </w:r>
    </w:p>
    <w:p>
      <w:pPr>
        <w:pStyle w:val="TextBody"/>
        <w:bidi w:val="0"/>
        <w:spacing w:before="0" w:after="200"/>
        <w:jc w:val="center"/>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had cash and cash equivalents of $312.8 million and $16.2 million and net working capital of $318.2 million and $31.2 million, respectively. We anticipate that our long-term cash requirements and obligations will be met through a combination of operating cash flows, additional government funding, equity raises and incurrence of additional indebtedness. This assessment is based on current internal forecasts and remains subject to changes in external and internal conditions. We have incurred recurring net losses and negative cash flows from operations since inception. As of June 30, 2026 and December 31, 2025, the Company had an accumulated deficit of $270.4 million and $206.3 million, respectively.</w:t>
      </w:r>
    </w:p>
    <w:p>
      <w:pPr>
        <w:pStyle w:val="TextBody"/>
        <w:bidi w:val="0"/>
        <w:spacing w:lineRule="auto" w:line="288" w:before="120" w:after="12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we incurred net losses of $62.7 million and $27.3 million, and, the Company had net cash outflows from operating activities of $30.6 million and $27.4 million, respectively. We expect to incur additional operating losses and net operating cash outflows as we continue to expand our commercial operations and R&amp;D activities.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first six months of 2026, we completed the following financing transactions (Refer to Notes 3, 9 and 13 of our Condensed Consolidated Financial Statements for additional information):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Received net proceeds from the Reverse Recapitalization and PIPE transaction of $263.6 million;</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Received $67.2 million in net proceeds from the Yorkville Investor from the issuance of 5.5 million Class B Subordinate Voting Shares in connection with the SATM; and</w:t>
      </w:r>
    </w:p>
    <w:p>
      <w:pPr>
        <w:pStyle w:val="TextBody"/>
        <w:bidi w:val="0"/>
        <w:spacing w:lineRule="auto" w:line="240" w:before="170" w:after="283"/>
        <w:ind w:left="0" w:right="0" w:hanging="360"/>
        <w:jc w:val="both"/>
        <w:rPr/>
      </w:pPr>
      <w:r>
        <w:rPr>
          <w:color w:val="000000"/>
        </w:rPr>
        <w:t>•</w:t>
      </w:r>
      <w:r>
        <w:rPr>
          <w:rFonts w:ascii="Times New Roman;serif" w:hAnsi="Times New Roman;serif"/>
          <w:b w:val="false"/>
          <w:color w:val="000000"/>
          <w:sz w:val="20"/>
        </w:rPr>
        <w:t>Received $3.0 million in proceeds from the SIF Loan.</w:t>
      </w:r>
    </w:p>
    <w:p>
      <w:pPr>
        <w:pStyle w:val="TextBody"/>
        <w:bidi w:val="0"/>
        <w:spacing w:before="0" w:after="0"/>
        <w:jc w:val="both"/>
        <w:rPr/>
      </w:pPr>
      <w:r>
        <w:rPr/>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Our primary uses of cash and cash equivalents are to support the ongoing growth of our business, including funding our operations and capital expenditures. Significant cash resources are required to support our ongoing investments in R&amp;D, as well as the commercialization of our products. These cash outflows are predictable since we enter into contracts with our key suppliers that define costs at the outset. While the costs are significant, we do have the ability to scale our research operations up or down to the extent that our cash position allows. Conversely, our cash inflows are dependent on enterprise and government partners whose ability to enter into revenue arrangements with us may be subject to complex approval structures and funding constraints making our ability to generate operating cash inflows unpredictable. When we require additional funding, we will seek to secure such best-efforts funding from various sources, including equity or debt financing and government assistance and subsidies. If we raise additional capital through the issuance of equity securities or securities convertible into equity, shareholders will experience dilution, and such securities may have rights or preferences senior to those of the holders of Xanadu Class A Multiple Voting Shares and Xanadu Class B Subordinate Voting Shares. In the future, if we obtain additional funds through debt financing, we may be subject to limitations on its operations, through debt covenants or other restrictions. There can be no assurance that we will be able to raise additional capital when needed or under acceptable terms.</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have successfully completed equity and debt financings in the past, there can be no assurance that equity and debt offerings in the future will be successful. Our current SIF Loan (as discussed in more detail below) and FedDev Loan (defined below), which allow us to receive contributions up to C$40.0 million and C$3.75 million, respectively, are contingent on our incurring defined eligible expenditures, provide additional funding for our R&amp;D projects. As of June 30, 2026, we have received all SIF loan contributions of C$40.0 million and C$3.38 million in contributions the FedDev Loan. Additionally, our current SATM Facility allows us to issue up to an additional 24,532,476 Class B Subordinate Shares for up to $232.8 million in net cash proceeds over the term of the three-year agreement.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Based on our current operating plan, management believes that the existing cash and cash equivalents will be sufficient to fund operations, R&amp;D activities, and capital expenditure requirements for at least 12 months from the date the Condensed Consolidated Financial Statements were issued. However, we have based this estimate as to how long we expect we will be able to fund our operations, R&amp;D activities, and capital expenditure requirements on assumptions that may prove to be wrong and we could use our available capital resources sooner than we currently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ind w:left="0" w:right="0" w:hanging="117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31F20"/>
          <w:sz w:val="18"/>
        </w:rPr>
      </w:pPr>
      <w:r>
        <w:rPr>
          <w:rFonts w:ascii="Times New Roman;serif" w:hAnsi="Times New Roman;serif"/>
          <w:b/>
          <w:color w:val="231F20"/>
          <w:sz w:val="18"/>
        </w:rPr>
        <w:t>MANAGEMENT'S DISCUSSION AND ANALYSIS OF FINANCIAL CONDITION AND RESULTS OF OPERATIONS</w:t>
      </w:r>
    </w:p>
    <w:p>
      <w:pPr>
        <w:pStyle w:val="TextBody"/>
        <w:bidi w:val="0"/>
        <w:spacing w:before="0" w:after="200"/>
        <w:jc w:val="center"/>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expect. We will continue to work with various funding sources to secure additional debt and equity financing and government assistance and subsidies, if required. </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Government of Canada’s Strategic Innovation Fund Agreement</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On January 20, 2023, we entered into the Strategic Innovation Fund Agreement, by and between Old Xanadu and His Majesty the King in Right of Canada as represented by the Minister of Industry (the “Minister”), as amended on September 10, 2025 (the “SIF Loan”). The SIF Loan provides for a conditionally repayable contribution to support a C$177.8 million project for the development of photonic-based, fault-tolerant quantum computers. The contribution is for an amount up to the lesser of C$40.0 million or 23.13% of eligible supported costs. In the second quarter of 2026, we received the remaining C$4.0 million in funding from SIF, resulting in all C$40.0 million of the program's funding being fully received.</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Principal and interest amounts to be repaid under the SIF Loan are determined using a revenue-based formula and are capped at 150% of the principal amount. Repayments are due in up to 20 annual installments, commencing on April 30, 2028. If the total of the 20 revenue-based annual installments is less than the principal amount, any remaining repayment obligation will be forgiven.</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The SIF Loan includes certain covenants requiring us to, among other things, support high-skilled jobs in Canada, collaborate with Canadian institutions and small and medium-sized Canadian-based enterprise, and invest in R&amp;D within Canada, maintain certain intellectual property rights and certain other customary covenants.</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Repayment of the SIF Loan contribution can be accelerated upon an event of default (as defined in the SIF Loan), termination or upon a change of control (as defined in the SIF Loan) that has not been approved by the Minister. In the event the Minister does not provide consent to a change of control, the Minister may require immediate repayment of all disbursed funds. Furthermore, in such circumstances, we may elect to terminate the SIF Loan by paying an additional amount based on contributions disbursed to date.</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The SIF Loan expires on the later of March 1, 2048 or the date of the final repayment, other than certain provisions which survive for a period of three years following expiration. Conditional repayments, which are based on our future revenues, are scheduled to be made annually over a 20-year period commencing on April 30, 2028. As of June 30, 2026, we were in compliance with our obligations under the SIF Loan.</w:t>
      </w:r>
    </w:p>
    <w:p>
      <w:pPr>
        <w:pStyle w:val="TextBody"/>
        <w:bidi w:val="0"/>
        <w:spacing w:lineRule="auto" w:line="288" w:before="0" w:after="160"/>
        <w:ind w:left="0" w:right="0" w:hanging="720"/>
        <w:jc w:val="left"/>
        <w:rPr>
          <w:rFonts w:ascii="Times New Roman;serif" w:hAnsi="Times New Roman;serif"/>
          <w:b w:val="false"/>
          <w:i/>
          <w:color w:val="000000"/>
          <w:sz w:val="20"/>
        </w:rPr>
      </w:pPr>
      <w:r>
        <w:rPr>
          <w:rFonts w:ascii="Times New Roman;serif" w:hAnsi="Times New Roman;serif"/>
          <w:b w:val="false"/>
          <w:i/>
          <w:color w:val="000000"/>
          <w:sz w:val="20"/>
        </w:rPr>
        <w:t>Commitments and Contractual Obligations</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As of June 30, 2026, our total contractual obligations amounted to $90.5 million, consisting primarily of purchase commitments of $47.2 million, the majority of which relates to our leasehold improvements, equipment, foundry partners and operating lease commitments, totaling $40.9 million, of which $1.1 million is due within the next 12 months. Other than operating lease commitments, our cash requirements for fiscal year 2026 are expected to be driven mainly by operating expenses and continued investment in the development and advancement of our quantum computers. The remaining obligations consist of repayments of debt related to our Regional Quantum Initiative Contribution Agreement (the “FedDev Loan”), by and between Old Xanadu and His Majesty the King in Right of Canada as represented by the Minister of Federal Economic Development Agency for Southern Ontario totaling $2.4 million payable over the next six years.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Financial Instruments</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 xml:space="preserve">We have financial assets including cash and accounts receivable that are recorded at amortized cost. Our financial liabilities, including accounts payable, accrued expenses and long-term debt which are recorded at amortized cost. Financial asset recorded at fair value consist of derivative assets. Financial liabilities carried at fair value include lease liabilities, warrant liabilities, and earn-out share liabilities.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completion of the Reverse Recapitalization, issued and outstanding Xanadu warrants were exchanged for warrants to purchase Xanadu Class A Multiple Voting Shares or warrants to purchase Xanadu Class B Subordinate Voting Shares. Additionally, contingently issuable earn-out share arrangements and derivative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ind w:left="0" w:right="0" w:hanging="117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31F20"/>
          <w:sz w:val="18"/>
        </w:rPr>
      </w:pPr>
      <w:r>
        <w:rPr>
          <w:rFonts w:ascii="Times New Roman;serif" w:hAnsi="Times New Roman;serif"/>
          <w:b/>
          <w:color w:val="231F20"/>
          <w:sz w:val="18"/>
        </w:rPr>
        <w:t>MANAGEMENT'S DISCUSSION AND ANALYSIS OF FINANCIAL CONDITION AND RESULTS OF OPERATIONS</w:t>
      </w:r>
    </w:p>
    <w:p>
      <w:pPr>
        <w:pStyle w:val="TextBody"/>
        <w:bidi w:val="0"/>
        <w:spacing w:before="0" w:after="200"/>
        <w:jc w:val="center"/>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instruments are re-measured at fair value at each reporting date, with changes in fair value recognized in earnings within the consolidated statement of operations and comprehensive income. </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Off-Balance Sheet Arrangements</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Other selected financial information</w:t>
      </w:r>
    </w:p>
    <w:tbl>
      <w:tblPr>
        <w:tblW w:w="8206" w:type="dxa"/>
        <w:jc w:val="left"/>
        <w:tblInd w:w="0" w:type="dxa"/>
        <w:tblLayout w:type="fixed"/>
        <w:tblCellMar>
          <w:top w:w="28" w:type="dxa"/>
          <w:left w:w="28" w:type="dxa"/>
          <w:bottom w:w="28" w:type="dxa"/>
          <w:right w:w="28" w:type="dxa"/>
        </w:tblCellMar>
      </w:tblPr>
      <w:tblGrid>
        <w:gridCol w:w="972"/>
        <w:gridCol w:w="854"/>
        <w:gridCol w:w="858"/>
        <w:gridCol w:w="109"/>
        <w:gridCol w:w="109"/>
        <w:gridCol w:w="109"/>
        <w:gridCol w:w="211"/>
        <w:gridCol w:w="826"/>
        <w:gridCol w:w="109"/>
        <w:gridCol w:w="109"/>
        <w:gridCol w:w="109"/>
        <w:gridCol w:w="109"/>
        <w:gridCol w:w="231"/>
        <w:gridCol w:w="790"/>
        <w:gridCol w:w="119"/>
        <w:gridCol w:w="109"/>
        <w:gridCol w:w="109"/>
        <w:gridCol w:w="109"/>
        <w:gridCol w:w="211"/>
        <w:gridCol w:w="826"/>
        <w:gridCol w:w="109"/>
        <w:gridCol w:w="109"/>
        <w:gridCol w:w="109"/>
        <w:gridCol w:w="109"/>
        <w:gridCol w:w="233"/>
        <w:gridCol w:w="233"/>
        <w:gridCol w:w="316"/>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68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384,009 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70,604 </w:t>
            </w:r>
          </w:p>
        </w:tc>
        <w:tc>
          <w:tcPr>
            <w:tcW w:w="1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313,405 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financial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57,963 </w:t>
            </w:r>
          </w:p>
        </w:tc>
        <w:tc>
          <w:tcPr>
            <w:tcW w:w="109"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37,183 </w:t>
            </w:r>
          </w:p>
        </w:tc>
        <w:tc>
          <w:tcPr>
            <w:tcW w:w="119"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20,780 </w:t>
            </w:r>
          </w:p>
        </w:tc>
        <w:tc>
          <w:tcPr>
            <w:tcW w:w="109"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16" w:type="dxa"/>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Total Assets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Total assets increased by $313.4 million, or 444%, to $384.0 million as of June 30, 2026 compared to total assets of $70.6 million as of December 31, 2025. The increase was primarily driven by proceeds from the Reverse Recapitalization and PIPE transaction and proceeds from the issuance of common shares through the SATM facility. Gross proceeds from the Reverse Recapitalization were $301.6 million, which includes $275.0 million of PIPE financing and $26.6 million of cash on hand from SPAC's trust account. The Company incurred $52.2 million in total costs related to the Reverse Recapitalization and PIPE financing, of which $37.9 million were costs directly related to the issuance of shares, of which $1.3 million was allocated to the issuance of the earn out shares, and thus expensed to the consolidated statement operations and comprehensive loss, and the remaining $36.7 million was recorded against share capital. In connection with the SATM facility, we received $67.2 million in proceeds through the issuance of Class B Subordinate Voting Shares. </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Non-current Financial Liabilities</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 xml:space="preserve">Non-current financial liabilities consist of long-term lease liabilities, long-term debt and long-term deposits, which increased $20.8 million from June 30, 2026 as compared to December 31, 2025. The increase is primarily due to a $19.1 million operating lease liability recognized in the second quarter of 2026 in Toronto, Ontario over a 15 year term to service our future operations. </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Cash Dividend</w:t>
      </w:r>
    </w:p>
    <w:p>
      <w:pPr>
        <w:pStyle w:val="TextBody"/>
        <w:bidi w:val="0"/>
        <w:spacing w:lineRule="auto" w:line="288" w:before="0" w:after="160"/>
        <w:ind w:left="0" w:right="0" w:firstLine="384"/>
        <w:jc w:val="left"/>
        <w:rPr>
          <w:rFonts w:ascii="Times New Roman;serif" w:hAnsi="Times New Roman;serif"/>
          <w:b w:val="false"/>
          <w:color w:val="000000"/>
          <w:sz w:val="20"/>
        </w:rPr>
      </w:pPr>
      <w:r>
        <w:rPr>
          <w:rFonts w:ascii="Times New Roman;serif" w:hAnsi="Times New Roman;serif"/>
          <w:b w:val="false"/>
          <w:color w:val="000000"/>
          <w:sz w:val="20"/>
        </w:rPr>
        <w:t>The Company did not declare or distribute any cash dividends for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ind w:left="0" w:right="0" w:hanging="117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31F20"/>
          <w:sz w:val="18"/>
        </w:rPr>
      </w:pPr>
      <w:r>
        <w:rPr>
          <w:rFonts w:ascii="Times New Roman;serif" w:hAnsi="Times New Roman;serif"/>
          <w:b/>
          <w:color w:val="231F20"/>
          <w:sz w:val="18"/>
        </w:rPr>
        <w:t>MANAGEMENT'S DISCUSSION AND ANALYSIS OF FINANCIAL CONDITION AND RESULTS OF OPERATIONS</w:t>
      </w:r>
    </w:p>
    <w:p>
      <w:pPr>
        <w:pStyle w:val="TextBody"/>
        <w:bidi w:val="0"/>
        <w:spacing w:before="0" w:after="200"/>
        <w:jc w:val="center"/>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Analysis of cash flows for the six months ended June 30, 2026 and 2025:</w:t>
      </w:r>
    </w:p>
    <w:p>
      <w:pPr>
        <w:pStyle w:val="TextBody"/>
        <w:bidi w:val="0"/>
        <w:spacing w:lineRule="auto" w:line="288" w:before="0" w:after="160"/>
        <w:ind w:left="0" w:right="0" w:firstLine="384"/>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cash flows for the periods indicated (in thousands):</w:t>
      </w:r>
    </w:p>
    <w:tbl>
      <w:tblPr>
        <w:tblW w:w="8169" w:type="dxa"/>
        <w:jc w:val="left"/>
        <w:tblInd w:w="0" w:type="dxa"/>
        <w:tblLayout w:type="fixed"/>
        <w:tblCellMar>
          <w:top w:w="28" w:type="dxa"/>
          <w:left w:w="28" w:type="dxa"/>
          <w:bottom w:w="28" w:type="dxa"/>
          <w:right w:w="28" w:type="dxa"/>
        </w:tblCellMar>
      </w:tblPr>
      <w:tblGrid>
        <w:gridCol w:w="1839"/>
        <w:gridCol w:w="1620"/>
        <w:gridCol w:w="1625"/>
        <w:gridCol w:w="211"/>
        <w:gridCol w:w="841"/>
        <w:gridCol w:w="109"/>
        <w:gridCol w:w="109"/>
        <w:gridCol w:w="109"/>
        <w:gridCol w:w="109"/>
        <w:gridCol w:w="211"/>
        <w:gridCol w:w="796"/>
        <w:gridCol w:w="109"/>
        <w:gridCol w:w="109"/>
        <w:gridCol w:w="109"/>
        <w:gridCol w:w="109"/>
        <w:gridCol w:w="154"/>
      </w:tblGrid>
      <w:tr>
        <w:trPr/>
        <w:tc>
          <w:tcPr>
            <w:tcW w:w="1839"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(30,630)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(27,374)</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op w:val="single" w:sz="8" w:space="0" w:color="CCEE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84" w:type="dxa"/>
            <w:gridSpan w:val="3"/>
            <w:tcBorders>
              <w:top w:val="single" w:sz="8" w:space="0" w:color="CCEE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rates on cash and cash equivalents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increase (decrease) in cash and cash equivalents</w:t>
            </w:r>
          </w:p>
        </w:tc>
        <w:tc>
          <w:tcPr>
            <w:tcW w:w="21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296,616</w:t>
            </w:r>
            <w:r>
              <w:rPr>
                <w:color w:val="000000"/>
              </w:rPr>
              <w:t> </w:t>
            </w:r>
          </w:p>
        </w:tc>
        <w:tc>
          <w:tcPr>
            <w:tcW w:w="10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(27,025)</w:t>
            </w:r>
          </w:p>
        </w:tc>
        <w:tc>
          <w:tcPr>
            <w:tcW w:w="10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Cash Flows Used in Operating Activities</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Cash flow from operating activities are significantly affected by our business growth, primarily related to R&amp;D, sales and marketing, and general and administrative activities. Operating cash flows are also affected by working capital needs to support growth in personnel-related expenditures and fluctuations in accounts payable and other current assets and liabilities.</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for the six months ended June 30, 2026 and 2025, was $30.6 million and $27.4 million, respectively.</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$3.3 million increase in cash used in operating activities was primarily driven by higher costs related to the expansion of operational activities to support growth and transition costs associated with operating as a public company, partially offset by working capital improvements.</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 xml:space="preserve">Non-cash charges, increased to $22.6 million for the six months ended June 30, 2026 from $5.2 million provided for the six months ended June 30, 2025. The primary driver was a $10.6 million loss related to the change in fair value of financial instruments and a $4.3 million increase in stock-based compensation. </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Cash Flows Provided by Financing Activities</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for the six months ended June 30, 2026 and 2025 was $334.2 million and $5.7 million, respectively.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net cash flows provided by financing activities for the six months ended June 30, 2026 was primarily driven by proceeds from the Reverse Recapitalization and PIPE transaction. Gross proceeds from the transaction were $301.6 million, comprising $275.0 million of PIPE financing and $26.6 million of cash on hand from SPAC's trust account. Gross proceeds received were reduced by $36.7 million in direct transaction costs, consisting primarily of legal, accounting, advisory, and other professional fees. In addition to the direct costs, $1.4 million of total indirect transaction costs were paid by SPAC prior to the closing of the Reverse Recapitalization and PIPE transaction. These costs were recorded directly to accumulated deficit in the consolidated balance sheet. Financing cash inflows also included $67.2 million in net proceeds from the issuance of 5.5 million Class B Subordinate Voting Shares under our SATM facility as well as $3.0 million in proceeds from our SIF loan.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for the six months ended June 30, 2025 of $5.7 million primarily relates to proceeds from our SIF Loan. </w:t>
      </w:r>
    </w:p>
    <w:p>
      <w:pPr>
        <w:pStyle w:val="TextBody"/>
        <w:bidi w:val="0"/>
        <w:spacing w:lineRule="auto" w:line="240" w:before="1" w:after="283"/>
        <w:ind w:left="0" w:right="0" w:hanging="1710"/>
        <w:jc w:val="both"/>
        <w:rPr>
          <w:rFonts w:ascii="Times New Roman;serif" w:hAnsi="Times New Roman;serif"/>
          <w:b w:val="false"/>
          <w:i/>
          <w:color w:val="000000"/>
          <w:sz w:val="20"/>
        </w:rPr>
      </w:pPr>
      <w:r>
        <w:rPr>
          <w:rFonts w:ascii="Times New Roman;serif" w:hAnsi="Times New Roman;serif"/>
          <w:b w:val="false"/>
          <w:i/>
          <w:color w:val="000000"/>
          <w:sz w:val="20"/>
        </w:rPr>
        <w:t>Cash Flows Used in Investing Activities</w:t>
      </w:r>
    </w:p>
    <w:p>
      <w:pPr>
        <w:pStyle w:val="TextBody"/>
        <w:bidi w:val="0"/>
        <w:spacing w:lineRule="auto" w:line="288" w:before="120" w:after="12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during the six months ended June 30, 2026 and 2025 was $7.2 million, and $5.9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ind w:left="0" w:right="0" w:hanging="117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31F20"/>
          <w:sz w:val="18"/>
        </w:rPr>
      </w:pPr>
      <w:r>
        <w:rPr>
          <w:rFonts w:ascii="Times New Roman;serif" w:hAnsi="Times New Roman;serif"/>
          <w:b/>
          <w:color w:val="231F20"/>
          <w:sz w:val="18"/>
        </w:rPr>
        <w:t>MANAGEMENT'S DISCUSSION AND ANALYSIS OF FINANCIAL CONDITION AND RESULTS OF OPERATIONS</w:t>
      </w:r>
    </w:p>
    <w:p>
      <w:pPr>
        <w:pStyle w:val="TextBody"/>
        <w:bidi w:val="0"/>
        <w:spacing w:before="0" w:after="200"/>
        <w:jc w:val="center"/>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net cash flows used in investing activities for the six months ended June 30, 2026 included $6.4 million in purchases of property and equipment, of which $4.8 million relates to equipment deposits. Additionally, investing outflows included $761 thousand in purchases of intangible assets. </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net cash flows used in investing activities for the six months ended June 30, 2025 included $4.3 million in capital expenditures for property and equipment and $1.6 million in purchases of intangible assets. In 2025, our investments were targeted towards expanding our packaging facility and acquiring specialized test equipment and embedded components essential for system integration and performance validation requiring a lower investment.</w:t>
      </w:r>
    </w:p>
    <w:p>
      <w:pPr>
        <w:pStyle w:val="TextBody"/>
        <w:bidi w:val="0"/>
        <w:spacing w:before="17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us to make estimates and assumptions that affect the reported amounts of assets and liabilities and the disclosure of contingent assets and liabilities. Estimates are based on historical experience and other various assumptions management believes are reasonable at that time, the result of which form the basis for making judgments about the carrying values of assets and liabilities that are not readily apparent from other sources. Actual results and outcomes could differ materially from management’s estimates, judgment and assumptions.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Key sources of estimation uncertainty include:</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Revenue Recognition</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We derive revenue primarily from: (i) professional services related to research projects, proof of concept development, and quantum education and (ii) compute and other services which includes provision of compute services, such as co-development and execution of quantum algorithms on the Company’s quantum computing systems, and provision, on a non-exclusive basis, via access to its photonic based-hardware, of QCaaS.</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Revenue for partially completed projects that are deemed probable of being met is recognized using an input measure based on actual labor hours incurred to date relative to total estimated labor hours required to complete the milestone. For fixed price milestone-based contracts, revenue is recognized based on this input measure as control is expected to transfer over the period that the milestone is completed. Total estimated labor hours are subject to management’s judgment and may be revised as projects progress. Significant changes to these estimates could result in material changes to expected revenue recognition patterns.</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We enter contracts that can include various combinations of products and services, which are generally capable of being distinct and accounted for as separate performance obligations. A contract’s transaction price is allocated to each distinct performance obligation based on their estimated standalone selling price. We determine standalone selling price based on the observable price of a product or service when it sells the products or services separately in similar circumstances and to similar customers. Certain products and services have limited or no history of being sold on a standalone basis. In these instances, we determine standalone selling price by considering its overall pricing objectives and market conditions, including cost plus a reasonable margin. Significant pricing practices considered include our discounting practices, the value of the contracts, historical standalone sales, customer demographics, geographic locations, and the number and types of users within the contracts. This practice requires judgment from management and the use of alternative inputs could result in revenue recognition patterns that vary from those reported.</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Materials and Supplies</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Materials and supplies consist primarily of chip fabrication and other costs incurred for the purposes of our R&amp;D activities. These are carried at average cost and recorded in materials and supplies in the consolidated balance sheets then expensed when consumed if an alternative use exists. Otherwise, these costs are expensed when incurred. The assessment of these materials and supplies’ alternative use and the identification of costs directly incurred to fabricate the materials and supplies requires management judgment and is subject to the current R&amp;D roadmap. Changes in our internal technological roadmap or in industry assessments of these materials and supplies could result in changes to our expense recognition patterns.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ind w:left="0" w:right="0" w:hanging="117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31F20"/>
          <w:sz w:val="18"/>
        </w:rPr>
      </w:pPr>
      <w:r>
        <w:rPr>
          <w:rFonts w:ascii="Times New Roman;serif" w:hAnsi="Times New Roman;serif"/>
          <w:b/>
          <w:color w:val="231F20"/>
          <w:sz w:val="18"/>
        </w:rPr>
        <w:t>MANAGEMENT'S DISCUSSION AND ANALYSIS OF FINANCIAL CONDITION AND RESULTS OF OPERATIONS</w:t>
      </w:r>
    </w:p>
    <w:p>
      <w:pPr>
        <w:pStyle w:val="TextBody"/>
        <w:bidi w:val="0"/>
        <w:spacing w:before="0" w:after="200"/>
        <w:jc w:val="center"/>
        <w:rPr/>
      </w:pPr>
      <w:r>
        <w:rPr/>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The fair value of equity-settled stock-based payments</w:t>
      </w:r>
    </w:p>
    <w:p>
      <w:pPr>
        <w:pStyle w:val="TextBody"/>
        <w:bidi w:val="0"/>
        <w:spacing w:lineRule="auto" w:line="288" w:before="0" w:after="160"/>
        <w:ind w:left="0" w:right="0" w:firstLine="384"/>
        <w:jc w:val="both"/>
        <w:rPr/>
      </w:pPr>
      <w:r>
        <w:rPr>
          <w:rFonts w:ascii="Times New Roman;serif" w:hAnsi="Times New Roman;serif"/>
          <w:b w:val="false"/>
          <w:color w:val="000000"/>
          <w:sz w:val="20"/>
        </w:rPr>
        <w:t xml:space="preserve">We account for stock-based compensation in accordance with ASC 718, </w:t>
      </w:r>
      <w:r>
        <w:rPr>
          <w:rFonts w:ascii="Times New Roman;serif" w:hAnsi="Times New Roman;serif"/>
          <w:b w:val="false"/>
          <w:i/>
          <w:color w:val="000000"/>
          <w:sz w:val="20"/>
        </w:rPr>
        <w:t>Compensation - Stock Compensation</w:t>
      </w:r>
      <w:r>
        <w:rPr>
          <w:rFonts w:ascii="Times New Roman;serif" w:hAnsi="Times New Roman;serif"/>
          <w:b w:val="false"/>
          <w:color w:val="000000"/>
          <w:sz w:val="20"/>
        </w:rPr>
        <w:t>. Equity-settled stock-based payments to employees and others providing similar services are recognized as stock-based compensation expense based on the fair value of the equity instruments at the grant date. We utilize the Black-Scholes model to determine the fair value of stock-based option awards. The Black-Scholes pricing model requires various subjective assumptions including the estimated fair value of the underlying shares and volatility. The assumptions used in calculating the fair value of stock-based payment awards represent management’s best estimates. These estimates involve inherent uncertainties and the application of management judgment. If factors change and different assumptions are used, our stock-based compensation expense could be materially different in the future. The estimates related to the fair-value of equity-settled stock-based payments affect the value of stock-based compensation reflected in the financial statements.</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Long-term revenue forecasts used in accounting for the SIF Loan</w:t>
      </w:r>
    </w:p>
    <w:p>
      <w:pPr>
        <w:pStyle w:val="TextBody"/>
        <w:bidi w:val="0"/>
        <w:spacing w:lineRule="auto" w:line="288" w:before="0" w:after="160"/>
        <w:ind w:left="0" w:right="0" w:firstLine="384"/>
        <w:jc w:val="both"/>
        <w:rPr/>
      </w:pPr>
      <w:r>
        <w:rPr>
          <w:rFonts w:ascii="Times New Roman;serif" w:hAnsi="Times New Roman;serif"/>
          <w:b w:val="false"/>
          <w:color w:val="000000"/>
          <w:sz w:val="20"/>
        </w:rPr>
        <w:t xml:space="preserve">The SIF Loan is conditionally repayable according to a revenue-based formula. The debt arising from the SIF Loan was recorded at face value and will be amortized using the effective interest method, leading to the accrual of interest expenses over the estimated term of the SIF Loan. The amortization schedule is based on projected cash flows derived from our long-term revenue forecast, which is contingent upon the successful implementation of our monetization strategy as described in the section entitled “— </w:t>
      </w:r>
      <w:r>
        <w:rPr>
          <w:rFonts w:ascii="Times New Roman;serif" w:hAnsi="Times New Roman;serif"/>
          <w:b w:val="false"/>
          <w:i/>
          <w:color w:val="000000"/>
          <w:sz w:val="20"/>
        </w:rPr>
        <w:t>Trends and Key Factors Affecting Operating Results</w:t>
      </w:r>
      <w:r>
        <w:rPr>
          <w:color w:val="000000"/>
        </w:rPr>
        <w:t>”</w:t>
      </w:r>
      <w:r>
        <w:rPr>
          <w:rFonts w:ascii="Times New Roman;serif" w:hAnsi="Times New Roman;serif"/>
          <w:b w:val="false"/>
          <w:color w:val="000000"/>
          <w:sz w:val="20"/>
        </w:rPr>
        <w:t>.</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Subsequent changes in forecasted cash flows will be accounted for under the retrospective method, which entails a new effective interest rate being computed each period based on the original proceeds received, actual cash flows to date, and the revised estimate of remaining cash flows. The new discount rate is then used to adjust the carrying value of the debt to the present value of the revised cash flows, discounted at the new effective interest rate. The offset is recognized in interest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Recently Issued and Adopted Accounting Standards</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A discussion of recent accounting pronouncements issued and adopted is included in Note 2 - Basis of Presentation and Summary of Significant Accounting Policies to our Consolidated Financial Statements in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Related Party Transactions</w:t>
      </w:r>
    </w:p>
    <w:p>
      <w:pPr>
        <w:pStyle w:val="TextBody"/>
        <w:bidi w:val="0"/>
        <w:spacing w:lineRule="auto" w:line="288" w:before="18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regarding related party transactions resulting from the Reverse Recapitalization, see 'Item 7. Major Shareholders and Related Party Transactions' in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Share Information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June 30, 2026, our outstanding share capital consisted of 251,555,764 Xanadu Class A Multiple Voting Shares issued and outstanding, and 52,668,260 Xanadu Class B Subordinate Voting Shares issued and outstanding.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as of June 30, 2026, 157,960 warrants to purchase Xanadu Class B Subordinate Voting Shares were outstanding. There were also 3,261,109 options to purchase Xanadu Class A Multiple Voting Shares and 43,705,394 options to purchase Xanadu Class B Subordinate Voting shares issued and outstanding.</w:t>
      </w:r>
    </w:p>
    <w:p>
      <w:pPr>
        <w:pStyle w:val="TextBody"/>
        <w:bidi w:val="0"/>
        <w:spacing w:lineRule="auto" w:line="240" w:before="17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August 4, 2026, our share capital consisted of (i) 248,737,921 Xanadu Class A Multiple Voting Shares issued and outstanding and 55,655,379 Class B Subordinate Voting Shares issued and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Quantitative and Qualitative Disclosures about Market Risks </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foreign currency exchange rates.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Foreign Currency Exchange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ind w:left="0" w:right="0" w:hanging="117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31F20"/>
          <w:sz w:val="18"/>
        </w:rPr>
      </w:pPr>
      <w:r>
        <w:rPr>
          <w:rFonts w:ascii="Times New Roman;serif" w:hAnsi="Times New Roman;serif"/>
          <w:b/>
          <w:color w:val="231F20"/>
          <w:sz w:val="18"/>
        </w:rPr>
        <w:t>MANAGEMENT'S DISCUSSION AND ANALYSIS OF FINANCIAL CONDITION AND RESULTS OF OPERATIONS</w:t>
      </w:r>
    </w:p>
    <w:p>
      <w:pPr>
        <w:pStyle w:val="TextBody"/>
        <w:bidi w:val="0"/>
        <w:spacing w:before="0" w:after="200"/>
        <w:jc w:val="center"/>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functional currency is the U.S. dollar. We undertake transactions denominated in various foreign currencies. As we expand our presence in international markets, our results of operations and cash flows may increasingly be subject to fluctuations due to changes in foreign currency exchange rates and may be adversely affected in the future due to changes in foreign exchange rates. To date, we have not entered into any derivative arrangement to minimize the impact of these fluctuations in the exchange rates. We will periodically reassess our approach to managing our risk relating to fluctuations in currency rates.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do not believe that foreign currency risk had a material effect on our business, financial condition, or results of operations during the periods presented.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we had Canadian denominated cash of $52.8 million and Canadian denominated net liabilities and loans payable of $64.8 million. The remaining amounts were denominated in U.S. dollars. Gains and losses arising upon translation of these amounts into U.S. dollars for inclusion in the consolidated financial statements are recognized in other income (expense), net in the statements of operations and comprehensive loss in the period in which they arise. A 5% weakening of the Canadian dollar versus the U.S. dollar, at June 30, 2026, would have increased the foreign exchange gain (loss) for the quarter by approximately $0.6 million while a 5% strengthening of the Canadian dollar would have increased our foreign exchange gain (loss) for the quarter by approximately $0.6 million. This analysis assumes that all other variables remain constant.</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Interest Rate Risk</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rate risk is the risk arising from the effect of changes in prevailing interest rates on our financial instruments. Such exposure primarily involves our money market funds and time deposit accounts. The outstanding SIF Loan principal and interest amounts to be repaid are determined using a revenue-based formula and are capped at 150% of the principal amount. The FedDev loan is interest free and we are therefore not subject to interest rate risk with respect to these loans. It is management’s opinion that we are not exposed to significant interest rate risk, as we have no variable interest rate debt.</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Credit Risk</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Financial instruments that may expose us to concentration of credit risk include cash and accounts receivable. We maintain our cash and investments with high quality financial institutions, which, at times, may exceed federally insured limits. We perform periodic evaluations of relative credit standing of the financial institutions. With respect to accounts receivable, we monitor the credit quality of our customers and we have not yet experienced credit loss from accounts receivables. Management believes that we are not exposed to significant credit risk due to the financial strength of the depository institutions in which the cash is held.</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Liquidity Risk</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Please see Item 5 and risk factors, including “We rely on funding and financial contributions from contracts with the public sector, including the Canadian government and U.S. government." within our Annual Report.</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Inflation Risk</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inflation will have a general impact on our business in line with overall price increases, increases in the cost of borrowing, and operating in an inflationary economy. We cannot predict the timing, strength, or duration of any inflationary period or economic slowdown or its ultimate impact on the Company. If the conditions in the general economy significantly deviate from present levels and continue to deteriorate it could have a material adverse effect on our business, financial condition, results of operations and growth prospects.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Concentration Risk</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75.0% of our revenues were attributable to two customers. For the three months ended June 30, 2025, 82.0% of our revenues were attributable to three customers. For the six months ended June 30, 2026, 79% of our revenues were attributable to two customers. For the six months ended June 30, 2025, 68% of our revenues were attributable to three customers.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ind w:left="0" w:right="0" w:hanging="117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31F20"/>
          <w:sz w:val="18"/>
        </w:rPr>
      </w:pPr>
      <w:r>
        <w:rPr>
          <w:rFonts w:ascii="Times New Roman;serif" w:hAnsi="Times New Roman;serif"/>
          <w:b/>
          <w:color w:val="231F20"/>
          <w:sz w:val="18"/>
        </w:rPr>
        <w:t>MANAGEMENT'S DISCUSSION AND ANALYSIS OF FINANCIAL CONDITION AND RESULTS OF OPERATIONS</w:t>
      </w:r>
    </w:p>
    <w:p>
      <w:pPr>
        <w:pStyle w:val="TextBody"/>
        <w:bidi w:val="0"/>
        <w:spacing w:before="0" w:after="200"/>
        <w:jc w:val="center"/>
        <w:rPr/>
      </w:pPr>
      <w:r>
        <w:rPr/>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Disclosure Controls and Procedures and Internal Controls Over Financial Reporting</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is responsible for establishing and maintaining a system of disclosure controls and procedures over the public disclosure of financial and non-financial information regarding the Company. Such controls and procedures are designed to provide reasonable assurance that all relevant information is gathered and reported to senior management on a timely basis, including to the Chief Executive Officer and the Chief Financial Officer, so that they can make appropriate and timely decisions regarding public disclosure. Management is also responsible for establishing and maintaining adequate internal controls over financial reporting to provide reasonable assurance regarding the reliability of financial reporting and the preparation of financial reports for external purposes in accordance with U.S. GAAP. The Company’s internal controls over financial reporting include, but are not limited to, detailed policies and procedures relating to financial accounting and reporting, and controls over systems that process and summarize transactions. The Company’s procedures for financial reporting also include the active involvement of qualified financial professionals, senior management and its Audit Committee. In designing such controls, it should be recognized that due to inherent limitations, any control, no matter how well designed and operated, can provide only reasonable assurance of achieving the desired control objectives and may not prevent or detect misstatements. Additionally, management is required to use judgment in evaluating controls and procedures. Therefore, even if determined to be designed effectively, disclosure controls and internal control over financial reporting can provide only reasonable assurance with respect to financial statement preparation and presentation.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conducted an evaluation of the effectiveness of our disclosure controls and procedures” (“Disclosure Controls”), as defined by Rules 13a-15(e) and 15d-15(e) of the Securities Exchange Act of 1934, as amended (the “Exchange Act”) and National Instrument 52-109 – Certification of Disclosure in Issuers’ Annual and Interim Filings, as of December 31, 2025. The Disclosure Controls evaluation was done under the supervision and with the participation of management, including our Chief Executive Officer and Chief Financial Officer. Based on that evaluation, the Chief Executive Officer and Chief Financial Officer concluded that such disclosure controls and procedures were not effective as at December 31, 2025 to provide reasonable assurance that the information required to be disclosed by the Company in reports it files is recorded, processed, summarized and reported, within the appropriate time periods and is accumulated and communicated to management, as appropriate to allow timely decisions regarding required disclosure and that there is a reasonable possibility that a material misstatement of our financial statements will not be prevented or detected on a timely basis. This conclusion was due to the following material weaknesses in internal control over financial reporting:</w:t>
      </w:r>
    </w:p>
    <w:p>
      <w:pPr>
        <w:pStyle w:val="TextBody"/>
        <w:bidi w:val="0"/>
        <w:spacing w:lineRule="auto" w:line="288" w:before="120" w:after="120"/>
        <w:ind w:left="0" w:right="0" w:firstLine="360"/>
        <w:jc w:val="both"/>
        <w:rPr/>
      </w:pPr>
      <w:r>
        <w:rPr>
          <w:color w:val="000000"/>
        </w:rPr>
        <w:t>•</w:t>
      </w:r>
      <w:r>
        <w:rPr>
          <w:rFonts w:ascii="Times New Roman;serif" w:hAnsi="Times New Roman;serif"/>
          <w:b/>
          <w:color w:val="000000"/>
          <w:sz w:val="20"/>
        </w:rPr>
        <w:t>Lack of formalized policies, procedures, and controls</w:t>
      </w:r>
      <w:r>
        <w:rPr>
          <w:rFonts w:ascii="Times New Roman;serif" w:hAnsi="Times New Roman;serif"/>
          <w:b w:val="false"/>
          <w:color w:val="000000"/>
          <w:sz w:val="20"/>
        </w:rPr>
        <w:t>: We lacked adequate documentation across key processes (including, but not limited to, financial close and reporting, revenue, procure to pay, order to cash, share-based compensation, and Information Technology General Controls). In certain instances, incompatible duties were performed by the same individuals without sufficient mitigating controls; and</w:t>
      </w:r>
    </w:p>
    <w:p>
      <w:pPr>
        <w:pStyle w:val="TextBody"/>
        <w:bidi w:val="0"/>
        <w:spacing w:lineRule="auto" w:line="288" w:before="120" w:after="120"/>
        <w:jc w:val="both"/>
        <w:rPr/>
      </w:pPr>
      <w:r>
        <w:rPr>
          <w:color w:val="000000"/>
        </w:rPr>
        <w:t xml:space="preserve">• </w:t>
      </w:r>
      <w:r>
        <w:rPr>
          <w:rFonts w:ascii="Times New Roman;serif" w:hAnsi="Times New Roman;serif"/>
          <w:b/>
          <w:color w:val="000000"/>
          <w:sz w:val="20"/>
        </w:rPr>
        <w:t>Insufficient qualified finance personnel</w:t>
      </w:r>
      <w:r>
        <w:rPr>
          <w:rFonts w:ascii="Times New Roman;serif" w:hAnsi="Times New Roman;serif"/>
          <w:b w:val="false"/>
          <w:color w:val="000000"/>
          <w:sz w:val="20"/>
        </w:rPr>
        <w:t>: We lacked sufficient qualified personnel within the finance and reporting function possessing the appropriate level of knowledge, experience, and training in applicable securities laws reporting requirements and the ability to meet required reporting requirements under applicable rules and regulations. This limitation adversely affected our ability to maintain effective internal controls.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implementing measures designed to improve our internal control over financial reporting to remediate these material weaknesses, including the following:</w:t>
      </w:r>
    </w:p>
    <w:p>
      <w:pPr>
        <w:pStyle w:val="TextBody"/>
        <w:bidi w:val="0"/>
        <w:spacing w:lineRule="auto" w:line="288" w:before="120" w:after="120"/>
        <w:ind w:left="0" w:right="0" w:firstLine="360"/>
        <w:jc w:val="both"/>
        <w:rPr/>
      </w:pPr>
      <w:r>
        <w:rPr>
          <w:color w:val="000000"/>
        </w:rPr>
        <w:t xml:space="preserve">• </w:t>
      </w:r>
      <w:r>
        <w:rPr>
          <w:rFonts w:ascii="Times New Roman;serif" w:hAnsi="Times New Roman;serif"/>
          <w:b w:val="false"/>
          <w:color w:val="000000"/>
          <w:sz w:val="20"/>
        </w:rPr>
        <w:t>Implementing a detailed internal control program by performing a top-down risk assessment, defining and documenting key controls across processes and systems, formalizing core policies and procedures and establishing governance including issue tracking and remediation</w:t>
      </w:r>
    </w:p>
    <w:p>
      <w:pPr>
        <w:pStyle w:val="TextBody"/>
        <w:bidi w:val="0"/>
        <w:spacing w:lineRule="auto" w:line="288" w:before="120" w:after="120"/>
        <w:ind w:left="0" w:right="0" w:firstLine="360"/>
        <w:jc w:val="both"/>
        <w:rPr/>
      </w:pPr>
      <w:r>
        <w:rPr>
          <w:color w:val="000000"/>
        </w:rPr>
        <w:t xml:space="preserve">• </w:t>
      </w:r>
      <w:r>
        <w:rPr>
          <w:rFonts w:ascii="Times New Roman;serif" w:hAnsi="Times New Roman;serif"/>
          <w:b w:val="false"/>
          <w:color w:val="000000"/>
          <w:sz w:val="20"/>
        </w:rPr>
        <w:t>Strengthening our finance team by recruiting and onboarding additional qualified accounting and financial reporting personnel with SEC reporting experience and providing training around key concepts to enhance organizational awareness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ind w:left="0" w:right="0" w:hanging="117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31F20"/>
          <w:sz w:val="18"/>
        </w:rPr>
      </w:pPr>
      <w:r>
        <w:rPr>
          <w:rFonts w:ascii="Times New Roman;serif" w:hAnsi="Times New Roman;serif"/>
          <w:b/>
          <w:color w:val="231F20"/>
          <w:sz w:val="18"/>
        </w:rPr>
        <w:t>MANAGEMENT'S DISCUSSION AND ANALYSIS OF FINANCIAL CONDITION AND RESULTS OF OPERATIONS</w:t>
      </w:r>
    </w:p>
    <w:p>
      <w:pPr>
        <w:pStyle w:val="TextBody"/>
        <w:bidi w:val="0"/>
        <w:spacing w:before="0" w:after="200"/>
        <w:jc w:val="center"/>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we are currently implementing these remediation measures, they have not been fully implemented and assessed, and therefore the material weaknesses remain as at June 30, 2026. Notwithstanding these identified material weaknesses, we believe that our interim financial statements present fairly, in all material respects, our business, financial condition and results of operations for the periods presented.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Except for the ongoing implementation of the remediation measures described above, there were no changes in our internal control over financial reporting during the three month period ended June 30, 2026 that have materially affected, or are reasonably likely to materially affect, our internal control over financial reporting.</w:t>
      </w:r>
    </w:p>
    <w:p>
      <w:pPr>
        <w:pStyle w:val="TextBody"/>
        <w:bidi w:val="0"/>
        <w:spacing w:before="0" w:after="0"/>
        <w:jc w:val="left"/>
        <w:rPr/>
      </w:pPr>
      <w:r>
        <w:rPr/>
      </w:r>
    </w:p>
    <w:p>
      <w:pPr>
        <w:pStyle w:val="TextBody"/>
        <w:bidi w:val="0"/>
        <w:spacing w:lineRule="auto" w:line="240" w:before="0" w:after="0"/>
        <w:ind w:left="0" w:right="0" w:hanging="480"/>
        <w:jc w:val="left"/>
        <w:rPr>
          <w:rFonts w:ascii="Times New Roman;serif" w:hAnsi="Times New Roman;serif"/>
          <w:b/>
          <w:color w:val="000000"/>
          <w:sz w:val="20"/>
        </w:rPr>
      </w:pPr>
      <w:r>
        <w:rPr>
          <w:rFonts w:ascii="Times New Roman;serif" w:hAnsi="Times New Roman;serif"/>
          <w:b/>
          <w:color w:val="000000"/>
          <w:sz w:val="20"/>
        </w:rPr>
        <w:t>Emerging Growth Company Status</w:t>
      </w:r>
    </w:p>
    <w:p>
      <w:pPr>
        <w:pStyle w:val="TextBody"/>
        <w:bidi w:val="0"/>
        <w:spacing w:before="0" w:after="0"/>
        <w:jc w:val="left"/>
        <w:rPr/>
      </w:pPr>
      <w:r>
        <w:rPr/>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Xanadu intends to take advantage of the benefits of this extended transition period and, following the consummation of the reverse recapitalization, will be an emerging growth company (for the period described in the immediately succeeding paragraph) and will take advantage of the benefits of the extended transition period emerging growth company status permits. During the extended transition period, it may be difficult or impossible to compare Xanadu's financial results with the financial results of another public company that complies with public company effective dates for accounting standard updates because of the potential differences in accounting standards used.</w:t>
      </w:r>
    </w:p>
    <w:p>
      <w:pPr>
        <w:pStyle w:val="TextBody"/>
        <w:bidi w:val="0"/>
        <w:spacing w:lineRule="auto" w:line="288" w:before="0" w:after="160"/>
        <w:ind w:left="0" w:right="0" w:firstLine="384"/>
        <w:jc w:val="both"/>
        <w:rPr>
          <w:rFonts w:ascii="Times New Roman;serif" w:hAnsi="Times New Roman;serif"/>
          <w:b w:val="false"/>
          <w:color w:val="000000"/>
          <w:sz w:val="20"/>
        </w:rPr>
      </w:pPr>
      <w:r>
        <w:rPr>
          <w:rFonts w:ascii="Times New Roman;serif" w:hAnsi="Times New Roman;serif"/>
          <w:b w:val="false"/>
          <w:color w:val="000000"/>
          <w:sz w:val="20"/>
        </w:rPr>
        <w:t>Xanadu will remain an emerging growth company under the JOBS Act until the earlier of:</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The last day of the fiscal year in which its total annual gross revenues are $1.235 billion or more.</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The last day of the fiscal year following the fifth anniversary of the completion of the Reverse Recapitalization.</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The date on which it has issued more than $1.0 billion in non-convertible debt during the previous three years.</w:t>
      </w:r>
    </w:p>
    <w:p>
      <w:pPr>
        <w:pStyle w:val="TextBody"/>
        <w:bidi w:val="0"/>
        <w:spacing w:lineRule="auto" w:line="288" w:before="0" w:after="160"/>
        <w:ind w:left="0" w:right="0" w:hanging="475"/>
        <w:jc w:val="left"/>
        <w:rPr/>
      </w:pPr>
      <w:r>
        <w:rPr>
          <w:color w:val="000000"/>
        </w:rPr>
        <w:t>•</w:t>
      </w:r>
      <w:r>
        <w:rPr>
          <w:rFonts w:ascii="Times New Roman;serif" w:hAnsi="Times New Roman;serif"/>
          <w:b w:val="false"/>
          <w:color w:val="000000"/>
          <w:sz w:val="20"/>
        </w:rPr>
        <w:t>The date on which it is deemed to be a large accelerated filer.</w:t>
      </w:r>
    </w:p>
    <w:p>
      <w:pPr>
        <w:pStyle w:val="TextBody"/>
        <w:bidi w:val="0"/>
        <w:spacing w:before="0" w:after="0"/>
        <w:ind w:left="0" w:right="0" w:hanging="115"/>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170"/>
        <w:jc w:val="both"/>
        <w:rPr>
          <w:rFonts w:ascii="Times New Roman;serif" w:hAnsi="Times New Roman;serif"/>
          <w:b w:val="false"/>
          <w:color w:val="000000"/>
          <w:sz w:val="20"/>
        </w:rPr>
      </w:pPr>
      <w:r>
        <w:rPr>
          <w:rFonts w:ascii="Times New Roman;serif" w:hAnsi="Times New Roman;serif"/>
          <w:b w:val="false"/>
          <w:color w:val="000000"/>
          <w:sz w:val="20"/>
        </w:rPr>
        <w:t>CAUTIONARY NOTE REGARDING FORWARD-LOOKING STATEMENTS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Some of the statements contained in this MD&amp;A and the documents incorporated by reference herein may constitute “forward-looking statements” for purposes of U.S. federal securities laws and “forward-looking information” for purposes of applicable Canadian securities laws (collectively, “forward-looking statements”). Forward-looking statements relate to expectations, beliefs, projections, future plans and strategies, anticipated events or trends and similar expressions concerning matters that are not historical facts. Forward-looking statements reflect our current views with respect to, among other things, our capital resources, performance and results of operations. Likewise, all of our statements regarding anticipated growth in operations, anticipated market conditions, demographics and results of operations are forward-looking statements. In some cases, you can identify these forward-looking statements by the use of terminology such as “outlook,” “believes,” “expects,” “expected,” “potential,” “continues,” “may,” “will,” “should,” “could,” “seeks,” “approximately,” “predicts,” “intends,” “plans,” “estimates,” “anticipates,” “anticipated,” “projected,” “future,” or the negative version of these words or other comparable words or phrases.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forward-looking statements contained in this MD&amp;A and the documents incorporated by reference herein reflect our current views about future events and are subject to numerous known and unknown risks, uncertainties, assumptions and changes in circumstances that may cause actual results to differ significantly from those expressed in any forward-looking statement. In particular, this MD&amp;A contains forward-looking statements pertaining to changes in our strategy, future operations, financial position, estimated revenues and losses, projected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ind w:left="0" w:right="0" w:hanging="117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31F20"/>
          <w:sz w:val="18"/>
        </w:rPr>
      </w:pPr>
      <w:r>
        <w:rPr>
          <w:rFonts w:ascii="Times New Roman;serif" w:hAnsi="Times New Roman;serif"/>
          <w:b/>
          <w:color w:val="231F20"/>
          <w:sz w:val="18"/>
        </w:rPr>
        <w:t>MANAGEMENT'S DISCUSSION AND ANALYSIS OF FINANCIAL CONDITION AND RESULTS OF OPERATIONS</w:t>
      </w:r>
    </w:p>
    <w:p>
      <w:pPr>
        <w:pStyle w:val="TextBody"/>
        <w:bidi w:val="0"/>
        <w:spacing w:before="0" w:after="200"/>
        <w:jc w:val="center"/>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prospects and plans; the implementation, market acceptance and success of our business model, growth strategy and opportunities, and our ability to commercialize our quantum computing technology; our expectations with respect to market opportunity and market growth; the expected benefits of and ability to maintain and enter into new contracts, awards and other relationships, partnerships or collaborations with other businesses, governments and government entities; the potential for our quantum computing technology to achieve quantum advantage; our ability to achieve timing and product development milestones on our product roadmap; our ability to attract and retain qualified employees and management; our expectations regarding our ability to obtain and maintain intellectual property protection and not infringe on the rights of others; expectations regarding the time during which we will be an emerging growth company under the JOBS Act; our future capital requirements and sources and uses of cash; our ability to obtain funding for our operations and future growth; our ability to draw down amounts under the Yorkville agreement; our ability to maintain the listing of the Class B Subordinate Voting Shares on the Nasdaq, the TSX or any other national exchange; the effects of competition on our future business; the impact of and changes in governmental regulations, tax laws and rates, and accounting guidance; the effectiveness of our internal controls and our corporate policies and procedures; expansion plans and opportunities; and the outcome of any known and unknown litigation and regulatory proceedings.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do not guarantee that the events described will happen as described (or that they will happen at all). The following factors, among others, could cause actual results and future events to differ materially from those set forth or contemplated in the forward-looking statements: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general economic uncertainty;</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the effects of pandemics, public health emergencies, ongoing conflicts or similar force majeure events on the global economy;</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the volatility of currency exchange rates;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our ability to obtain and maintain financing arrangements on attractive terms and to commercialize our quantum computing technology;</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our ability to manage growth;</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our ability to maintain the listing of the Xanadu Class B Subordinate Voting Shares on the Nasdaq, the TSX or any other national exchange;</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the effects of competition on our future business;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potential disruption in our employee retention, changes in personnel and availability of qualified personnel, including as a result of the Reverse Recapitalization;</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the impact of and changes in governmental regulations or the enforcement thereof, tax laws and rates, accounting guidance and similar matters in regions in which we operate or will operate in the future;</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potential litigation, governmental or regulatory proceedings, investigations or inquiries involving us, including in relation to the Reverse Recapitalization;</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international, national or local economic, social or political conditions that could adversely affect us and our business;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the effectiveness of our internal controls and our corporate policies and procedures;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the limited experience of certain members of our management team in operating a public company in the United States and Canada;</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the volatility of the market price and liquidity of the Xanadu Class B Subordinate Voting Shares;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risks relating to any unforeseen liabilities of the Company;</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failure to obtain lender consent, industry partner and other third-party consents and approvals, when required;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ind w:left="0" w:right="0" w:hanging="117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31F20"/>
          <w:sz w:val="18"/>
        </w:rPr>
      </w:pPr>
      <w:r>
        <w:rPr>
          <w:rFonts w:ascii="Times New Roman;serif" w:hAnsi="Times New Roman;serif"/>
          <w:b/>
          <w:color w:val="231F20"/>
          <w:sz w:val="18"/>
        </w:rPr>
        <w:t>MANAGEMENT'S DISCUSSION AND ANALYSIS OF FINANCIAL CONDITION AND RESULTS OF OPERATIONS</w:t>
      </w:r>
    </w:p>
    <w:p>
      <w:pPr>
        <w:pStyle w:val="TextBody"/>
        <w:bidi w:val="0"/>
        <w:spacing w:before="0" w:after="200"/>
        <w:jc w:val="center"/>
        <w:rPr/>
      </w:pPr>
      <w:r>
        <w:rPr/>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changes in our strategy, future operations, financial position, estimated revenues and losses, projected costs, prospects and plans;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our expectations with respect to market opportunity and market growth;</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the expected benefits of and ability to maintain and enter into new contracts, awards and other relationships, partnerships or collaborations with other businesses, governments and government entities;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the potential for our quantum computing technology to achieve quantum advantage;</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our ability to achieve timing and product development milestones on our product roadmap;</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our expectations regarding our ability to obtain and maintain intellectual property protection and not infringe on the rights of others;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expectations regarding the time during which we will be an emerging growth company under the JOBS Act;</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our ability to obtain funding for our operations and future growth, and our future capital requirements and sources and uses of cash;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expansion plans and opportunities, including risks related to the rollout of the Company’s business and expansion strategy; and</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the need to obtain required approvals from regulatory authorities;</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 xml:space="preserve">our ability to meet the conditions required to issue Xanadu Class B Subordinate Voting Shares pursuant to any equity financing arrangements; </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the volatility of the price of the Xanadu Class B Subordinate Voting Shares that may result from future issuance or sales of shares;</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the dilution of holders of Xanadu Class B Subordinate Voting Shares resulting from future issuances of shares, including pursuant to equity financing arrangements, the extent of which cannot be guaranteed;</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 xml:space="preserve">risks related to compliance with U.S. and Canadian foreign investment review requirements, including review by the Committee on Foreign Investment in the United States and the Investment Canada Act, and export controls applicable to quantum computing technology; </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the impact of changes in international trade relations and tariffs on our supply chain and operations; and</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the risks associated with the rapid expansion of our U.S. operations, including our ability to establish and scale operations in new geographic locations.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forward-looking statements contained herein may prove incorrect. These forward-looking statements speak only as of the date of this MD&amp;A and are subject to risks, uncertainties and other factors, which could cause actual results to differ materially from future results expressed, projected or implied by the forward-looking statements. For a further discussion of the risks and other factors that could cause our future results, performance or transactions to differ significantly from those expressed in any forward-looking statements, please see the section entitled “Risk Factors” in our Annual Report and our filings with the SEC (www.sec.gov) and the CSA (www.sedarplus.com). There may be additional risks that we do not presently know or that we currently believe are immaterial, that could also cause actual results to differ from those contained in the forward-looking statements.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Such forward-looking statements are based on a number of estimates and assumptions that we believe are reasonable when made including, but not limited to, assumptions that none of the risks identified in our filings with the SEC (www.sec.gov) and the CSA (www.sedarplus.com) materialize; that there are no unforeseen changes to economic and market conditions, and no significant events occur outside the ordinary course of business. Such estimates and assumptions are made in light of the experience of management and its perception of historical trends, current conditions and expected future developments, as well as other factors believed to be appropriate and reasonable in the circumstances. However, there can be no assurance that such estimates and assumptions will prove to be correct.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ind w:left="0" w:right="0" w:hanging="1170"/>
        <w:jc w:val="left"/>
        <w:rPr/>
      </w:pPr>
      <w:hyperlink w:anchor="i10a8248617bd45b7b3f936da46fe7d6f_4">
        <w:r>
          <w:rPr>
            <w:rStyle w:val="InternetLink"/>
            <w:rFonts w:ascii="Times New Roman;serif" w:hAnsi="Times New Roman;serif"/>
            <w:b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31F20"/>
          <w:sz w:val="18"/>
        </w:rPr>
      </w:pPr>
      <w:r>
        <w:rPr>
          <w:rFonts w:ascii="Times New Roman;serif" w:hAnsi="Times New Roman;serif"/>
          <w:b/>
          <w:color w:val="231F20"/>
          <w:sz w:val="18"/>
        </w:rPr>
        <w:t>MANAGEMENT'S DISCUSSION AND ANALYSIS OF FINANCIAL CONDITION AND RESULTS OF OPERATIONS</w:t>
      </w:r>
    </w:p>
    <w:p>
      <w:pPr>
        <w:pStyle w:val="TextBody"/>
        <w:bidi w:val="0"/>
        <w:spacing w:before="0" w:after="200"/>
        <w:jc w:val="center"/>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Should one or more of these risks or uncertainties materialize, or should any of the assumptions made in making these forward-looking statements prove incorrect, actual results may vary in material respects from those projected in these forward-looking statements. In addition, statements that “we believe” and similar statements reflect our beliefs and opinions on the relevant subject. These statements are based upon information available to us as of the date of this MD&amp;A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Because forward- looking statements are inherently subject to risks and uncertainties, some of which cannot be predicted or quantified and some of which are beyond our control, these forward-looking statements should not be relied upon as guarantees of future events. The events and circumstances reflected in our forward-looking statements may not be achieved or occur and actual future results, levels of activity, performance and events and circumstances could differ materially from those projected in the forward-looking statements. Moreover, we operate in an evolving environment. New risks and uncertainties may emerge from time to time, and management cannot predict all risks and uncertainties. Except as required by applicable law, we do not undertake to publicly update or revise any forward-looking statements contained herein, whether as a result of any new information, future events, changed circumstances or otherwise.</w:t>
      </w:r>
    </w:p>
    <w:p>
      <w:pPr>
        <w:pStyle w:val="TextBody"/>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ptos">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34278</Words>
  <Characters>195063</Characters>
  <CharactersWithSpaces>227385</CharactersWithSpaces>
  <Paragraphs>3530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