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001-43205</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777 Bay Street, Toronto, Ontario M5G 2C8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a Standby Equity Purchase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20, 2026 (the “Effective Date”), Xanadu Quantum Technologies Limited, a corporation incorporated under the Business Corporations Act (Ontario) (the “Company”), entered into a standby equity purchase agreement (the “Purchase Agreement”) with YA II PN, Ltd. (“Yorkville”), pursuant to which the Company has the right to sell to Yorkville up to $300,000,000 of its subordinate voting shares, no par value (the “Subordinate Voting Shares”), subject to certain limitations and conditions set forth in the Purchase Agreement, from time to time during the term of the Purchase Agreement. Sales of Subordinate Voting Shares to Yorkville under the Purchase Agreement, and the timing of any such sales, are at the Company’s option, and the Company is under no obligation to sell any securities to Yorkville under the Purchase Agreement. In accordance with its obligations under the Purchase Agreement, the Company intends to file a registration statement with the U.S. Securities and Exchange Commission (the “SEC”) to register under the Securities Act of 1933, as amended (the “Securities Act”), the resale by Yorkville of Subordinate Voting Shares that the Company may elect, in its sole discretion, to issue and sell to Yorkville under the Purchase Agreement.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the satisfaction of the conditions to Yorkville’s purchase obligation set forth in the Purchase Agreement, including that a registration statement be declared effective by the SEC, the Company will have the right, but not the obligation, from time to time at its sole discretion during the period beginning on the date of the Purchase Agreement and ending upon termination of the Purchase Agreement in accordance with its terms (the “Commitment Period”), to direct Yorkville to subscribe and purchase a specified number of Subordinate Voting Shares (each such sale, an “Advance”) by delivering a written notice to Yorkville (each, an “Advance Notice”). There is no mandatory minimum amount for any Advance and no non-usage fee for not utilizing the full commitment amount or any part thereof. The number of Subordinate Voting Shares the Company may request in any Advance Notice may not exceed the maximum advance amount set forth in the Purchase Agreement and is subject to the limitations described below, including the Exchange Cap (as defined in the Purchase Agreement) and the Ownership Limitation (as defined below).</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per share purchase price Yorkville will pay for the Subordinate Voting Shares (the “Purchase Price”) will equal 97.50% of the Market Price (as defined below), provided that if such price is less than the TSX Minimum Price (as defined below), the Purchase Price shall equal the applicable TSX Minimum Price. The Market Price is defined as the volume weighted average price of the Subordinate Voting Shares on the principal U.S. market on which the Subordinate Voting Shares are listed during the applicable pricing period, which is a one-day pricing period commencing upon Yorkville’s written confirmation of receipt of the applicable Advance Notice and ending at 4:00 p.m. New York City time on the same trading day (unless otherwise agreed by the parties or the pricing period is terminated pursuant to the terms of the Purchase Agreement). The TSX Minimum Price is the volume weighted average price of the Subordinate Voting Shares on the Toronto Stock Exchange (the “TSX”) during the five TSX trading day period immediately preceding the delivery of the applicable Advance Notice, less the maximum permitted discount provided in the TSX Company Manual, converted to U.S. dollars using the exchange rate quoted by the Bank of Canada at the time of submission of such Advance Notice.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Subordinate Voting Shares to Yorkville. Actual sales of the Company's Subordinate Voting Shares to Yorkville under the Purchase Agreement, if any, will depend on a variety of factors to be determined by the Company from time to time, which may include, among other things, market conditions, the trading price of the Company's Subordinate Voting Shares and determinations by the Company as to the appropriate sources of funding for its business and its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Yorkville will not be obligated to purchase any Subordinate Voting Shares under the Purchase Agreement which, when aggregated with all other Subordinate Voting Shares then beneficially owned by Yorkville and its affiliates (as calculated pursuant to Section 13(d) of the Securities Exchange Act of 1934, as amended (the “Exchange Act”), and Rule 13d-3 promulgated thereunder), would result in the beneficial ownership by Yorkville and its affiliates exceeding 4.99% of the then outstanding voting power or number of Subordinate Voting Shares (the “Ownership Limitation”).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under the Purchase Agreement to the Company will depend on the number of Subordinate Voting Shares the Company sells to Yorkville, the timing of such sales, and the prices at which the Company sells such shares to Yorkville. The Company expects that any proceeds received from such sales to Yorkville will be used for working capital and other general corporate purposes.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Yorkville has agreed that it and its affiliates will not engage in any short sales of the Subordinate Voting Shares during the Commitment Period, except that Yorkville may sell a number of Subordinate Voting Shares equal to the number of shares that it is unconditionally obligated to purchase under a pending Advance Notice but has not yet received from the Company or the Company's transfer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earlier of (i) 36 months following the Effective Date or (ii) the date on which Yorkville shall have made payment of Advances pursuant to the Purchase Agreement for Subordinate Voting Shares equal to $300,000,000 in the aggregate. The Company may terminate the Purchase Agreement at any time upon written notice to Yorkville, provided that (i) there are no outstanding Advance Notices for which Subordinate Voting Shares have yet to be issued and paid for and (ii) the Company has paid all amounts owed to Yorkville pursuant to the Purchase Agreement. The Purchase Agreement may also be terminated at any time by mutual written consent of the parties. Neither the Company nor Yorkville may assign or transfer their respective rights and obligations under the Purchase Agreement, and no provision of the Purchase Agreement may be modified or waived other than by an instrument in writing signed by both parties.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consideration for Yorkville’s commitment to purchase Subordinate Voting Shares at the Company's direction upon the terms and subject to the conditions set forth in the Purchase Agreement, the Company has paid Yorkville a structuring fee in the amount of $25,000 and is obligated to pay a commitment fee equal to 0.45% of the aggregate commitment amount under the Purchase Agreement (the “Commitment Fee”), which is fully earned upon execution of the Purchase Agreement. At the Company’s option, the Company elected to pay the Commitment Fee in cash, with 10% of the gross proceeds from each Advance deducted by Yorkville from the total Purchase Price payable to the Company from each such Advance until the Commitment Fee is paid in full. Any portion of the Commitment Fee that remains unpaid upon the termination of the Purchase Agreement, or upon the twelve-month anniversary of the date of the Purchase Agreement, shall be immediately paid by the Company to Yorkville in cash.</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conditions and indemnification obligations of the parties. The representations, warranties and covenants contained in the Purchase Agreement were made only for purposes of the Purchase Agreement and as of specific dates, were solely for the benefit of the parties thereto and may be subject to limitations agreed upon by the contracting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know what the Purchase Price for its Subordinate Voting Shares will be and therefore cannot be certain as to the number of shares it might issue to Yorkville under the Purchase Agreement. Although the Purchase Agreement provides that the Company may sell up to $300,000,000 of its Subordinate Voting Shares to Yorkville, the actual number of shares issued will depend on the Purchase Price at the time of each Advance.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elects to issue and sell Subordinate Voting Shares to Yorkville under the Purchase Agreement, the Company must ensure that any such shares are registered for resale under the Securities Act, which could cause additional dilution to the Company's shareholders.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substantial risks to the Company's shareholders as a result of the sale and issuance of Subordinate Voting Shares to Yorkville under the Purchase Agreement. These risks include the potential for substantial dilution and significant declines in the Company's share price. Issuances of the Company's Subordinate Voting Shares under the Purchase Agreement will not affect the rights or privileges of the Company's existing shareholders, except that the economic and voting interests of each of the Company's existing shareholders will be diluted as a result of any such issuance. Although the number of Subordinate Voting Shares that the Company's existing shareholders own will not decrease as a result of sales, if any, under the Purchase Agreement, the shares owned by the Company's existing shareholders will represent a smaller percentage of the Company's total outstanding shares after any such issuance to Yorkville.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the full text of the Purchase Agreement, the form of which is attached hereto as Exhibit 10.1 and is incorporated herein by reference.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21, 2026, the Company published a press release entitled “Xanadu Announces up to $300 Million Synthetic At-The-Market Program”. A copy of the press release is attached hereto as Exhibit 99.1 and is incorporated herein by reference.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offers to buy any securities of the Company, and shall not constitute an offer, solicitation or sale of any security in any jurisdiction in which such offer, solicitation or sale would be unlawful prior to registration or qualification under the securities laws of any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76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Standby Equity Purchase Agreement, dated May 20, 2026, by and between Xanadu Quantum Technologies Limited and YA II PN, Ltd.</w:t>
            </w: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Xanadu Announces up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300 Million Synthetic At-The-Market Program</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 Company has based these forward-looking statements on current expectations and projections about future events. These statements include: the Program, including its size, the intended use of net proceeds therefrom, expected benefits thereof; the filing of a resale registration statement on Form F-1; the Company’s ability to continue scaling and executing on its long-term roadmap towards fault-tolerant quantum computing and the Company’s objective to strategically and prudently tap the equity market to fund its growth strategy.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w:t>
      </w:r>
    </w:p>
    <w:p>
      <w:pPr>
        <w:spacing w:after="0" w:line="18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Company's ability to maintain internal control over financial reporting and operate as a public company; the outcome of any legal proceedings or government investigations that may be commenced against Xanadu; failure to realize the anticipated benefits of the business combination with Crane Harbor Acquisition Corp.; the Company's ability to issue equity or equity-linked securities in the future; risks related to the Program, including the potential for substantial dilution to existing shareholders resulting from the issuance of Class B subordinate voting shares thereunder, the risk that sales of such shares or the perception that such sales may occur, could cause the price of the Company's Class B subordinate voting shares to decline; and other factors described in the Company's filings with the SEC and the CSA, which factors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report;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spacing w:after="0" w:line="2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the Company “believes” and similar statements reflect the Company's beliefs and opinions on the relevant subject. These statements are based upon information available to the Company as of the date of this report, and while the Company believes such information forms a reasonable basis for such statements, such information may be limited or incomplete, and such statements should not be read to indicate that the Company has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21, 2026</w:t>
      </w:r>
      <w:r>
        <w:rPr>
          <w:sz w:val="20"/>
          <w:szCs w:val="20"/>
          <w:color w:val="auto"/>
        </w:rPr>
        <w:tab/>
      </w:r>
      <w:r>
        <w:rPr>
          <w:rFonts w:ascii="Times New Roman" w:cs="Times New Roman" w:eastAsia="Times New Roman" w:hAnsi="Times New Roman"/>
          <w:sz w:val="17"/>
          <w:szCs w:val="17"/>
          <w:b w:val="1"/>
          <w:bCs w:val="1"/>
          <w:color w:val="auto"/>
        </w:rPr>
        <w:t>Xanadu Quantum Technologies Limited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marked with [***] has been excluded from the exhibit because it is both not material and is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STANDBY EQUITY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STANDBY EQUITY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20, 2026 is made by and between</w:t>
      </w:r>
      <w:r>
        <w:rPr>
          <w:rFonts w:ascii="Times New Roman" w:cs="Times New Roman" w:eastAsia="Times New Roman" w:hAnsi="Times New Roman"/>
          <w:sz w:val="18"/>
          <w:szCs w:val="18"/>
          <w:b w:val="1"/>
          <w:bCs w:val="1"/>
          <w:color w:val="auto"/>
        </w:rPr>
        <w:t xml:space="preserve"> YA II PN, LTD.</w:t>
      </w:r>
      <w:r>
        <w:rPr>
          <w:rFonts w:ascii="Times New Roman" w:cs="Times New Roman" w:eastAsia="Times New Roman" w:hAnsi="Times New Roman"/>
          <w:sz w:val="18"/>
          <w:szCs w:val="18"/>
          <w:color w:val="auto"/>
        </w:rPr>
        <w:t>, a Cayman Islands exempt limited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XANADU QUANTUM TECHNOLOGIES LIMITED, </w:t>
      </w:r>
      <w:r>
        <w:rPr>
          <w:rFonts w:ascii="Times New Roman" w:cs="Times New Roman" w:eastAsia="Times New Roman" w:hAnsi="Times New Roman"/>
          <w:sz w:val="18"/>
          <w:szCs w:val="18"/>
          <w:color w:val="auto"/>
        </w:rPr>
        <w:t>a company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and the Company may be referred to herein individually as a “Party” and collectively as the “Parties.”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have the right to issue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to the Investor, from time to time as provided herein, and the Investor shall subscribe and purchase from the Company, up to $300 million of the Company’s Class B Subordinate Voting Shares (the “</w:t>
      </w:r>
      <w:r>
        <w:rPr>
          <w:rFonts w:ascii="Times New Roman" w:cs="Times New Roman" w:eastAsia="Times New Roman" w:hAnsi="Times New Roman"/>
          <w:sz w:val="18"/>
          <w:szCs w:val="18"/>
          <w:u w:val="single" w:color="auto"/>
          <w:color w:val="auto"/>
        </w:rPr>
        <w:t>Subordinate Voting Shares</w:t>
      </w:r>
      <w:r>
        <w:rPr>
          <w:rFonts w:ascii="Times New Roman" w:cs="Times New Roman" w:eastAsia="Times New Roman" w:hAnsi="Times New Roman"/>
          <w:sz w:val="18"/>
          <w:szCs w:val="18"/>
          <w:color w:val="auto"/>
        </w:rPr>
        <w:t xml:space="preserve">”), subject to the Exchange Cap (as defined below), to the extent applicable, at a Purchase Price (as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that shall be determined in accordance with this Agreement;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Subordinate Voting Shares are listed for trading on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Toronto Stock Exchange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under the symbol “XNDU;”</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offer and sale of the Subordinate Voting Shares issuable hereunder will be made in reliance upon (i) an exemption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pursuant to Section 4(a)(2)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upon such other exemption from the registration requirements of the Securities Act as may be available with respect to any or all of the transactions to be made hereunder, and (ii) an exemption from the prospectus requirements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under Section 2.3 of the Ontario Securities Commission Rule 72-503 – </w:t>
      </w:r>
      <w:r>
        <w:rPr>
          <w:rFonts w:ascii="Times New Roman" w:cs="Times New Roman" w:eastAsia="Times New Roman" w:hAnsi="Times New Roman"/>
          <w:sz w:val="18"/>
          <w:szCs w:val="18"/>
          <w:i w:val="1"/>
          <w:iCs w:val="1"/>
          <w:color w:val="auto"/>
        </w:rPr>
        <w:t>Distributions Outside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OSC Rule 72-503</w:t>
      </w:r>
      <w:r>
        <w:rPr>
          <w:rFonts w:ascii="Times New Roman" w:cs="Times New Roman" w:eastAsia="Times New Roman" w:hAnsi="Times New Roman"/>
          <w:sz w:val="18"/>
          <w:szCs w:val="18"/>
          <w:color w:val="auto"/>
        </w:rPr>
        <w:t>”), subject to compliance with those requirements; and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of the Investor’s execution and delivery of this Agreement, the Company shall issue to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 Shares pursuant to and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Agreement shall have the meanings ascribed to such terms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which is hereby made a part hereof, or as otherwise set forth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Advances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Advances; Mechanics</w:t>
      </w:r>
      <w:r>
        <w:rPr>
          <w:rFonts w:ascii="Times New Roman" w:cs="Times New Roman" w:eastAsia="Times New Roman" w:hAnsi="Times New Roman"/>
          <w:sz w:val="18"/>
          <w:szCs w:val="18"/>
          <w:color w:val="auto"/>
        </w:rPr>
        <w:t>. Upon the terms and subject to the conditions of this Agreement, during the Commitment Period, the Company, at its sole discretion, shall have the right, but not the obligation, to issue and sell to the Investor (subject to the consummation of the applicable Closing for such Advance), and the Investor shall subscribe and purchase from the Company, Advance Shares by the delivery to the Investor of Advance Notices on the following terms:</w:t>
      </w:r>
    </w:p>
    <w:p>
      <w:pPr>
        <w:spacing w:after="0" w:line="180" w:lineRule="exact"/>
        <w:rPr>
          <w:sz w:val="20"/>
          <w:szCs w:val="20"/>
          <w:color w:val="auto"/>
        </w:rPr>
      </w:pPr>
    </w:p>
    <w:p>
      <w:pPr>
        <w:jc w:val="both"/>
        <w:ind w:left="720" w:hanging="388"/>
        <w:spacing w:after="0" w:line="26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At any time during the Commitment Period the Company may require the Investor to purchase Subordinate Voting Shares by delivering an Advance Notice to the Investor, subject to the satisfaction or waiver by the Investor of the conditions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hereto, and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sole discretion, select (a) the number of Advance Shares it desires to issue and sell to the Investor in each Advance Notice, not to exceed the Maximum Advance Amount (unless otherwise agreed by the Investor) and (b) the time it desires to deliver each Advance Notice.</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mandatory minimum Advances and there shall be no non-usage fee for not utilizing the Commitment Amount or any part thereof,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388" w:hanging="388"/>
        <w:spacing w:after="0" w:line="258" w:lineRule="auto"/>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Advance Notice</w:t>
      </w:r>
      <w:r>
        <w:rPr>
          <w:rFonts w:ascii="Times New Roman" w:cs="Times New Roman" w:eastAsia="Times New Roman" w:hAnsi="Times New Roman"/>
          <w:sz w:val="18"/>
          <w:szCs w:val="18"/>
          <w:color w:val="auto"/>
        </w:rPr>
        <w:t xml:space="preserve">. Advance Notices shall be delivered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 Advance Notice shall only be delivered on a Trading Day and shall be deemed delivered on the day such notice is received by the Investor by email. Upon receipt of an Advance Notice, the Investor shall promptly (and in no event more than one-half hour after receipt) provide written confirmation (which may be by e-mail) of receipt of such Advance Notice, and which confirmation shall confirm the applicable Pricing Period.</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Limitations, Regulatory</w:t>
      </w:r>
      <w:r>
        <w:rPr>
          <w:rFonts w:ascii="Times New Roman" w:cs="Times New Roman" w:eastAsia="Times New Roman" w:hAnsi="Times New Roman"/>
          <w:sz w:val="18"/>
          <w:szCs w:val="18"/>
          <w:color w:val="auto"/>
        </w:rPr>
        <w:t>. Regardless of the number of Advance Shares requested by the Company in an Advance Notice, the final number of Advance Shares to be issued and sold pursuant to such Advance Notice shall be reduced (if at all) in accordance with each of the following limitations:</w:t>
      </w:r>
    </w:p>
    <w:p>
      <w:pPr>
        <w:spacing w:after="0" w:line="175" w:lineRule="exact"/>
        <w:rPr>
          <w:rFonts w:ascii="Times New Roman" w:cs="Times New Roman" w:eastAsia="Times New Roman" w:hAnsi="Times New Roman"/>
          <w:sz w:val="18"/>
          <w:szCs w:val="18"/>
          <w:color w:val="auto"/>
        </w:rPr>
      </w:pPr>
    </w:p>
    <w:p>
      <w:pPr>
        <w:jc w:val="both"/>
        <w:ind w:left="1628" w:hanging="656"/>
        <w:spacing w:after="0" w:line="252" w:lineRule="auto"/>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 Commitment Amount</w:t>
      </w:r>
      <w:r>
        <w:rPr>
          <w:rFonts w:ascii="Times New Roman" w:cs="Times New Roman" w:eastAsia="Times New Roman" w:hAnsi="Times New Roman"/>
          <w:sz w:val="18"/>
          <w:szCs w:val="18"/>
          <w:color w:val="auto"/>
        </w:rPr>
        <w:t>. At the request of the Company, the Investor shall promptly (but no later than the next Business Day after the Company’s request) inform the Company in advance of the number of Subordinate Voting Shares the Investor and each of its Affiliates beneficially own. Notwithstanding anything to the contrary contained in this Agreement, the Investor shall not be obligated to purchase or acquire, and shall not purchase or acquire, any Subordinate Voting Shares under this Agreement which, when aggregated with all other Subordinate Voting Shares beneficially owned by the Investor and its Affiliates (as calculated pursuant to Section 13(d) of the Exchange Act and Rule 13d-3 promulgated thereunder), would result in the beneficial ownership by the Investor and its Affiliates (on an aggregated basis) of a number of Subordinate Voting Shares exceeding 4.99% of the then outstanding voting power or number of Subordinate Voting Shares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Upon the request of the Investor, the Company shall promptly (but no later than the next Business Day on which the transfer agent for the Subordinate Voting Shares is open for business) confirm orally or in writing to the Investor the number of Subordinate Voting Shares then outstanding. In connection with each Advance Notice delivered by the Company, any portion of an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194" w:lineRule="exact"/>
        <w:rPr>
          <w:rFonts w:ascii="Times New Roman" w:cs="Times New Roman" w:eastAsia="Times New Roman" w:hAnsi="Times New Roman"/>
          <w:sz w:val="18"/>
          <w:szCs w:val="18"/>
          <w:color w:val="auto"/>
        </w:rPr>
      </w:pPr>
    </w:p>
    <w:p>
      <w:pPr>
        <w:jc w:val="both"/>
        <w:ind w:left="1628" w:hanging="656"/>
        <w:spacing w:after="0" w:line="255" w:lineRule="auto"/>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In no event shall an Advance exceed the number of Subordinate Voting Shares registered in respect of the transactions contemplated hereby under the Registration Statement then in effect (the “</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51" w:lineRule="auto"/>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Markets</w:t>
      </w:r>
      <w:r>
        <w:rPr>
          <w:rFonts w:ascii="Times New Roman" w:cs="Times New Roman" w:eastAsia="Times New Roman" w:hAnsi="Times New Roman"/>
          <w:sz w:val="18"/>
          <w:szCs w:val="18"/>
          <w:color w:val="auto"/>
        </w:rPr>
        <w:t>. Notwithstanding anything to the contrary herein, the Company shall not effect any sales under this Agreement and the Investor shall not have the obligation to purchase Subordinate Voting Shares under this Agreement to the extent (but only to the extent) that after giving effect to such purchase and sale the aggregate number of Subordinate Voting Shares issued under this Agreement would exceed 8,652,558 (representing approximately 19.99% of the aggregate number of Subordinate Voting Shares issued and outstanding as of the Effective Date of this Agreement (subject to adjustment for any share splits, combinations or the like and not reflecting any Subordinate Voting Shares issuable pursuant to warrants of the Company exercised on the date hereof or the Commitment Shares to be issued hereunder)), calculated in accordance with the rules of the Principal Markets, which number shall be reduced, on a share-for-share basis, by the number of Subordinate Voting Shares issued or issuable pursuant to any transaction or series of transactions that may be aggregated with the transactions contemplated by this Agreement under the applicable rules of the Principal Markets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Exchange Cap will not apply if (a) the Company’s shareholders have approved the issuance of Subordinate Voting Shares pursuant to this Agreement in excess of the Exchange Cap in accordance with the rules of each Principal U.S. Market, or (b) the Average Price of all applicable sales of Subordinate Voting Shares hereunder (including any sales covered by an Advance Notice that has been delivered prior to the determination of whether this clause (b) applies) equals or exceeds (x) $13.17 per share (which represents the lower of (i) the Nasdaq Official Closing Price (as reflected on Nasdaq.com) immediately preceding the signing of this Agreement; or (ii) the average Nasdaq Official Closing Price for the five Trading Days immediately preceding the signing of this Agreement), and (y) the "market price" in accordance with the requirements of the TSX Company Manual. In connection with each Advance 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 The restrictions of the Principal U.S. Market under the Exchange Cap shall not apply if the Company takes all actions required pursuant to Nasdaq Rule 5615(a)(3) to duly and validly rely on the exemption for foreign private issuers from applicable rules and regulations of the Nasdaq by adopting the home country practice (the “</w:t>
      </w:r>
      <w:r>
        <w:rPr>
          <w:rFonts w:ascii="Times New Roman" w:cs="Times New Roman" w:eastAsia="Times New Roman" w:hAnsi="Times New Roman"/>
          <w:sz w:val="18"/>
          <w:szCs w:val="18"/>
          <w:u w:val="single" w:color="auto"/>
          <w:color w:val="auto"/>
        </w:rPr>
        <w:t>Home Country Practice</w:t>
      </w:r>
      <w:r>
        <w:rPr>
          <w:rFonts w:ascii="Times New Roman" w:cs="Times New Roman" w:eastAsia="Times New Roman" w:hAnsi="Times New Roman"/>
          <w:sz w:val="18"/>
          <w:szCs w:val="18"/>
          <w:color w:val="auto"/>
        </w:rPr>
        <w:t>”) in connection with the transactions contemplated hereunder (including an exemption from any Nasdaq rules that would otherwise require seeking shareholder approval in respect of such transactions) which allows the Company to issue the Subordinate Voting Shares to the Investor in connection with this Agreement without regard to the limitations imposed by Nasdaq Rule 5635(d). For the avoidance of doubt, the Home Country Practice applies solely to the rules of the Principal U.S. Market and does not affect any Exchange Cap restrictions imposed by the TSX.</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122" w:gutter="0" w:footer="0" w:header="0"/>
        </w:sectPr>
      </w:pPr>
    </w:p>
    <w:bookmarkStart w:id="7" w:name="page8"/>
    <w:bookmarkEnd w:id="7"/>
    <w:p>
      <w:pPr>
        <w:jc w:val="both"/>
        <w:ind w:left="1628" w:hanging="656"/>
        <w:spacing w:after="0" w:line="254"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Volume Threshold</w:t>
      </w:r>
      <w:r>
        <w:rPr>
          <w:rFonts w:ascii="Times New Roman" w:cs="Times New Roman" w:eastAsia="Times New Roman" w:hAnsi="Times New Roman"/>
          <w:sz w:val="18"/>
          <w:szCs w:val="18"/>
          <w:color w:val="auto"/>
        </w:rPr>
        <w:t>. In connection with an Advance, if the total number of Subordinate Voting Shares traded on the Principal U.S. Market during the applicable Pricing Period (not including any Subordinate Voting Shares traded during such time as the Intra-Day VWAP was below either the TSX Minimum Price or the Minimum Acceptable Price), is less than the Volume Threshold, then the number of Advance Shares issued and sold pursuant to such Advance Notice shall be reduced to the greater of (a) 30% of the trading volume of the Subordinate Voting Shares on the Principal U.S. Market during such Pricing Period (not including any Subordinate Voting Shares traded during such time as the Intra-Day VWAP was below either the TSX Minimum Price or the Minimum Acceptable Price) as reported by Bloomberg L.P., or (b) the number of Subordinate Voting Shares sold by the Investor during such Pricing Period (such reduced number of Advance Shares, the “</w:t>
      </w:r>
      <w:r>
        <w:rPr>
          <w:rFonts w:ascii="Times New Roman" w:cs="Times New Roman" w:eastAsia="Times New Roman" w:hAnsi="Times New Roman"/>
          <w:sz w:val="18"/>
          <w:szCs w:val="18"/>
          <w:u w:val="single" w:color="auto"/>
          <w:color w:val="auto"/>
        </w:rPr>
        <w:t>Volume Reduced Advance</w:t>
      </w:r>
      <w:r>
        <w:rPr>
          <w:rFonts w:ascii="Times New Roman" w:cs="Times New Roman" w:eastAsia="Times New Roman" w:hAnsi="Times New Roman"/>
          <w:sz w:val="18"/>
          <w:szCs w:val="18"/>
          <w:color w:val="auto"/>
        </w:rPr>
        <w:t>”), but in each case not to exceed the amount requested in the Advance Notice.</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54"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TSX Minimum Price</w:t>
      </w:r>
      <w:r>
        <w:rPr>
          <w:rFonts w:ascii="Times New Roman" w:cs="Times New Roman" w:eastAsia="Times New Roman" w:hAnsi="Times New Roman"/>
          <w:sz w:val="18"/>
          <w:szCs w:val="18"/>
          <w:color w:val="auto"/>
        </w:rPr>
        <w:t>. If at any time during a Pricing Period the Intra-Day VWAP of the Subordinate Voting Shares on the Principal U.S. Market is below the TSX Minimum Price for a period of at least ten minutes, then the applicable Pricing Period shall terminate, and the Investor will stop all further sales of Subordinate Voting Shares in respect of such Advance Notice. The number of Advance Shares issued and sold pursuant to such Advance Notice shall be reduced to the number of Subordinate Voting Shares sold by the Investor during such Pricing Period prior to its termination, if such number is less than the number of Subordinate Voting Shares requested in the Advance Notice (such reduced number of Advance Shares, the “</w:t>
      </w:r>
      <w:r>
        <w:rPr>
          <w:rFonts w:ascii="Times New Roman" w:cs="Times New Roman" w:eastAsia="Times New Roman" w:hAnsi="Times New Roman"/>
          <w:sz w:val="18"/>
          <w:szCs w:val="18"/>
          <w:u w:val="single" w:color="auto"/>
          <w:color w:val="auto"/>
        </w:rPr>
        <w:t>TSX Reduced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The Company shall not deliver an Advance Notice at any time where the TSX Minimum Price in respect of such Advance Notice would be greater than 95% of the market price of the Subordinate Voting Shares on the Principal U.S. Market at the time of the delivery of such Advance Notice.</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53"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Acceptable Price</w:t>
      </w:r>
      <w:r>
        <w:rPr>
          <w:rFonts w:ascii="Times New Roman" w:cs="Times New Roman" w:eastAsia="Times New Roman" w:hAnsi="Times New Roman"/>
          <w:sz w:val="18"/>
          <w:szCs w:val="18"/>
          <w:color w:val="auto"/>
        </w:rPr>
        <w:t>. With respect to each Advance Notice, the Company may notify the Investor of the Minimum Acceptable Price with respect to such Advance by indicating a Minimum Acceptable Price on such Advance Notice. If no Minimum Acceptable Price is specified in an Advance Notice, then no Minimum Acceptable Price shall be in effect in connection with such Advance. If at any time during a Pricing Period the Intra-Day VWAP of the Subordinate Voting Shares on the Principal U.S. Market is below the Minimum Acceptable Price for a period of at least ten minutes, then the applicable Pricing Period shall terminate, and the Investor will stop all further sales of Subordinate Voting Shares in respect of such Advance Notice. The number of Advance Shares issued and sold pursuant to such Advance Notice shall be reduced to the number of Subordinate Voting Shares sold by the Investor during such Pricing Period prior to its termination, if such number is less than the number of Subordinate Voting Shares requested in the Advance Notice (such reduced number of Advance Shares, the “</w:t>
      </w:r>
      <w:r>
        <w:rPr>
          <w:rFonts w:ascii="Times New Roman" w:cs="Times New Roman" w:eastAsia="Times New Roman" w:hAnsi="Times New Roman"/>
          <w:sz w:val="18"/>
          <w:szCs w:val="18"/>
          <w:u w:val="single" w:color="auto"/>
          <w:color w:val="auto"/>
        </w:rPr>
        <w:t>MAP Reduced Advance</w:t>
      </w:r>
      <w:r>
        <w:rPr>
          <w:rFonts w:ascii="Times New Roman" w:cs="Times New Roman" w:eastAsia="Times New Roman" w:hAnsi="Times New Roman"/>
          <w:sz w:val="18"/>
          <w:szCs w:val="18"/>
          <w:color w:val="auto"/>
        </w:rPr>
        <w:t>” and collectively with the Volume Reduced Advance and the TSX Reduced Advance, the “</w:t>
      </w:r>
      <w:r>
        <w:rPr>
          <w:rFonts w:ascii="Times New Roman" w:cs="Times New Roman" w:eastAsia="Times New Roman" w:hAnsi="Times New Roman"/>
          <w:sz w:val="18"/>
          <w:szCs w:val="18"/>
          <w:u w:val="single" w:color="auto"/>
          <w:color w:val="auto"/>
        </w:rPr>
        <w:t>Reduced Advance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1628" w:hanging="656"/>
        <w:spacing w:after="0" w:line="256"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TSX Personal Information Form</w:t>
      </w:r>
      <w:r>
        <w:rPr>
          <w:rFonts w:ascii="Times New Roman" w:cs="Times New Roman" w:eastAsia="Times New Roman" w:hAnsi="Times New Roman"/>
          <w:sz w:val="18"/>
          <w:szCs w:val="18"/>
          <w:color w:val="auto"/>
        </w:rPr>
        <w:t>. Until such time as the Investor shall have submitted a Personal Information Form and obtained approval thereof from the TSX, the Company shall not deliver an Advance Notice at any time if upon purchase of the Advance Shares specified in such Advance Notice, the Investor would hold securities of the Company representing 10.00% or more of the voting rights attached to all outstanding voting securities of the Company. The Investor shall promptly submit a Personal Information Form to the TSX and cooperate with the TSX in order to obtain approval thereof, upon holding securities of the Company representing 9.50% or more of the voting rights attached to all outstanding voting securities of the Company.</w:t>
      </w:r>
    </w:p>
    <w:p>
      <w:pPr>
        <w:spacing w:after="0" w:line="187" w:lineRule="exact"/>
        <w:rPr>
          <w:rFonts w:ascii="Times New Roman" w:cs="Times New Roman" w:eastAsia="Times New Roman" w:hAnsi="Times New Roman"/>
          <w:sz w:val="18"/>
          <w:szCs w:val="18"/>
          <w:color w:val="auto"/>
        </w:rPr>
      </w:pPr>
    </w:p>
    <w:p>
      <w:pPr>
        <w:jc w:val="both"/>
        <w:ind w:left="388" w:hanging="388"/>
        <w:spacing w:after="0" w:line="254" w:lineRule="auto"/>
        <w:tabs>
          <w:tab w:leader="none" w:pos="3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Contract</w:t>
      </w:r>
      <w:r>
        <w:rPr>
          <w:rFonts w:ascii="Times New Roman" w:cs="Times New Roman" w:eastAsia="Times New Roman" w:hAnsi="Times New Roman"/>
          <w:sz w:val="18"/>
          <w:szCs w:val="18"/>
          <w:color w:val="auto"/>
        </w:rPr>
        <w:t xml:space="preserve">.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the applicable number of Advance Shares pursuant to such Advance Notice in accordance with the terms of this Agreement and (i) subject to Applicable Laws and (ii) subject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and Section 6.18, the Investor may sell Subordinate Voting Shares during the Pricing Period for such Advance Notice (including with respect to any Advance Shares subject to such Pricing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Company notifies the Investor by e-mail that it wishes to stop all further sales prior to the end of the Pricing Period in respect of an outstanding Advance Notice, the applicable Pricing Period shall terminate, the Investor will stop all further sales, and that Advance Notice will be deemed to be terminated (other than in respect to such number of Subordinate Voting Shares sold by the Investor prior to such termination).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Advance and each sale, issuance and purchase of Advance Shares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to purchase the Advance Shares covered by the applicable Advance Notice) but shall be determined on each Closing based on the daily prices of the Subordinate Voting Shares that are the inputs to the determination of the Purchase Price as set forth further below (provided that for the purposes of determining the daily VWAP for any Trading Day, the Parties may use only a specified period within a Trading Day upon mutual consent), subject to the TSX Minimum Price. In connection with each Closing, the Company and the Investor shall fulfill each of its obligations as set forth below:</w:t>
      </w:r>
    </w:p>
    <w:p>
      <w:pPr>
        <w:spacing w:after="0" w:line="189" w:lineRule="exact"/>
        <w:rPr>
          <w:sz w:val="20"/>
          <w:szCs w:val="20"/>
          <w:color w:val="auto"/>
        </w:rPr>
      </w:pPr>
    </w:p>
    <w:p>
      <w:pPr>
        <w:jc w:val="both"/>
        <w:ind w:left="720" w:hanging="388"/>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Advance Date, the Investor shall deliver to the Company a written document,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xml:space="preserve">”), setting forth the final number of Advance Shares to be purchased by the Investor (taking into account any adjustments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Market Price, the Purchase Price, the aggregate proceeds to be paid by the Investor to the Company, and a report by Bloomberg, L.P. indicating the VWAP during the Pricing Period (or, if not reported on Bloomberg, L.P., another reporting service reasonably agreed to by the Parties), in each case in accordance with the terms and conditions of this Agreement.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the Settlement Document with respect to each Advance (and, in any event, not later than one Trading Day after such receipt): (i) the Investor shall pay to the Company the aggregate purchase price of the Advance Shares (as set forth in the Settlement Document) in cash in immediately available funds to an account designated by the Company in writing and transmit notification to the Company that such funds transfer has been requested, and (ii)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No fractional shares shall be issued, and any fractional shares that would otherwise be issued in connection with an Advance shall be rounded to the next higher whole number of shares. To facilitate the transfer of the Subordinate Voting Shares by the Investor, the Subordinate Voting Shares issued to the Investor will not bear any restrictive legends so long as there is an effective Registration Statement covering the resale of such Subordinate Voting Shares or resale of such Subordinate Voting Shares in compliance with Rule 144 under the Securities Act (it being understood and agreed (i) by the Investor that notwithstanding the lack of restrictive legends, the Investor may only sell such Subordinate Voting Shares pursuant to the Plan of Distribution set forth in the Prospectus included in the applicable Registration Statement and otherwise in compliance with the requirements of the Securities Act (including any applicable prospectus delivery requirements) or pursuant to an available exemption), and (ii) by the Investor that the Company and its legal counsel may rely on the Investor’s acknowledgment included in the foregoing item (i) in this sentence in connection with the issuance of the Subordinate Voting Shares to the Investor and the delivery of instructions and opinions to the transfer agent or the Investor.</w:t>
      </w:r>
    </w:p>
    <w:p>
      <w:pPr>
        <w:spacing w:after="0" w:line="19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on any day during the Pricing Period (i) the Company notifies the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Subordinate Voting Shares sold by the Investor during the applicable Pricing Period prior to the notification from the Company of a Material Outside Event or Black Out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fails to perform its obligations as mandated in this Agreement after the Investor’s receipt of an Advance Notice, the Company agrees that in addition to and in no way limiting the rights and obligations set forth in Article V hereto and in addition to any other remedy to which the Investor is entitled at law or in equity, including, without limitation, specific performance, it is accordingly agreed that the Investor shall be entitled to an injunction or injunctions to prevent such breaches of this Agreement and to specifically enforce (subject to Applicable Laws and the rules of the Principal U.S. Market and the TSX), without the posting of a bond or other security, the terms and provisions of this Agreement.</w:t>
      </w:r>
    </w:p>
    <w:p>
      <w:pPr>
        <w:spacing w:after="0" w:line="187"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provides an Advance Notice and the Investor fails to perform its obligations as mandated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the Investor agrees that in addition to and in no way limiting the rights and obligations set forth in Article V hereto and in addition to any other remedy to which the Company is entitled at law or in equity, including, without limitation, specific performance, it is accordingly agreed that the Company shall be entitled to an injunction or injunctions to prevent such breaches of this Agreement and to specifically enforce (subject to Applicable Laws and the rules of the Principal U.S. Market and the TSX), without the posting of a bond or other security, the terms and provisions of this Agreement.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Completion of Resale Pursuant to the Registration Statement</w:t>
      </w:r>
      <w:r>
        <w:rPr>
          <w:rFonts w:ascii="Times New Roman" w:cs="Times New Roman" w:eastAsia="Times New Roman" w:hAnsi="Times New Roman"/>
          <w:sz w:val="18"/>
          <w:szCs w:val="18"/>
          <w:color w:val="auto"/>
        </w:rPr>
        <w:t>. After the Investor has purchased the full Commitment Amount and has completed the subsequent resale of the full Commitment Amount pursuant to the Registration Statement, Investor will notify the Company in writing (which may be by e-mail) that all subsequent resales are completed and the Company will be under no further obligation to maintain the effectiveness of the Registration Statement. Additionally, provided the Investor does not hold any Advance Shares, the Company shall have no further obligation to maintain the effectiveness of any Registration Statement after the 90th day following the earlier to occur of the latest Closing that has occurred and the termination of this Agreement in accordance with its terms.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Promptly following the execution of this Agreement, the Company shall issue a press release announcing the entry into this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Pre-Advances</w:t>
      </w:r>
      <w:r>
        <w:rPr>
          <w:rFonts w:ascii="Times New Roman" w:cs="Times New Roman" w:eastAsia="Times New Roman" w:hAnsi="Times New Roman"/>
          <w:sz w:val="18"/>
          <w:szCs w:val="18"/>
          <w:color w:val="auto"/>
        </w:rPr>
        <w:t>. On a periodic basis and at the mutual consent of the Investor and the Company, the Investor shall pre-advance capital against the Commitment Amount pursuant to promissory notes of up to $100 million, on mutually agreeable terms and conditions. To the extent the aggregate purchase price to be paid pursuant to Section 2.02(b) is netted against such pre-advance, the amount owing to the Investor pursuant to the applicable promissory note(s) shall be reduced by the Purchase Price in the Settlement Document. At no time will Advance Shares be issued to the Investor in satisfaction of a pre-advance of capital at a price that is below the TSX Minimum Price.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Investor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as of each Advance Notice Date and as of each Advance Date that: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Authorization</w:t>
      </w:r>
      <w:r>
        <w:rPr>
          <w:rFonts w:ascii="Times New Roman" w:cs="Times New Roman" w:eastAsia="Times New Roman" w:hAnsi="Times New Roman"/>
          <w:sz w:val="18"/>
          <w:szCs w:val="18"/>
          <w:color w:val="auto"/>
        </w:rPr>
        <w:t>. The Investor is duly organized, validly existing and in good standing under the laws of the Cayman Islands and has the requisite corporate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 Investor, the performance by the Investor of its obligations hereunder and the consummation by the Investor of the transactions contemplated hereby have been duly authorized and require no further consent or authorization or other proceedings on the part of the Investor. The undersigned has the right, power and authority to execute and deliver the Transaction Documents to which it is a party and all other instruments on behalf of the Investor or its shareholders. This Agreement and the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Evaluation of Risks</w:t>
      </w:r>
      <w:r>
        <w:rPr>
          <w:rFonts w:ascii="Times New Roman" w:cs="Times New Roman" w:eastAsia="Times New Roman" w:hAnsi="Times New Roman"/>
          <w:sz w:val="18"/>
          <w:szCs w:val="18"/>
          <w:color w:val="auto"/>
        </w:rPr>
        <w:t>. The Investor has such knowledge and experience in financial, tax and business matters as to be capable of evaluating the merits and risks of, and bearing the economic risks entailed by, an investment in the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Investment or Tax Advice from the Company</w:t>
      </w:r>
      <w:r>
        <w:rPr>
          <w:rFonts w:ascii="Times New Roman" w:cs="Times New Roman" w:eastAsia="Times New Roman" w:hAnsi="Times New Roman"/>
          <w:sz w:val="18"/>
          <w:szCs w:val="18"/>
          <w:color w:val="auto"/>
        </w:rPr>
        <w:t>.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Shares for its own account, for investment purposes and not with a view towards, or for resale in connection with, the public sale or distribution thereof, except pursuant to sales registered under or exempt from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 The Investor acknowledges that it will be disclosed as an “underwriter” and a “selling shareholder” in each Registration Statement and in any prospectus contained therein to the extent required by applicable law and to the extent the prospectus is related to the resale of Registrable Securities. In addition, the Investor is acquiring the Commitment Shares for its own account and not with a view towards the public sale or distribution thereof. The Investor understands that the Commitment Shares have not been registered under the Securities Act and may be resold only if registered pursuant to the provisions of the Securities Act or if an exemption from registration is available.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Investor Status</w:t>
      </w:r>
      <w:r>
        <w:rPr>
          <w:rFonts w:ascii="Times New Roman" w:cs="Times New Roman" w:eastAsia="Times New Roman" w:hAnsi="Times New Roman"/>
          <w:sz w:val="18"/>
          <w:szCs w:val="18"/>
          <w:color w:val="auto"/>
        </w:rPr>
        <w:t>. The Investor acknowledges that it (i)(1) is an institutional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defined in Rule 501(a under the Securities Act or (2) is a “qualified institutional buyer” (as defined in Rule 144A under the Securities Act), and (ii) to the extent the Investor is acquiring the Shares as a fiduciary or agent for one or more investor accounts, each owner of such account is a qualified institutional buyer or an accredited investor and the Investor has full investment discretion with respect to each such account, and the full power and authority to make the acknowledgments, representations and agreements herein on behalf of each owner of each such account. The Investor is not an entity formed for the specific purpose of acquiring the Shares.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3.06 Institutional Account. The Investor acknowledges that it (i) is an institutional account as defined in FINRA Rule 4512(c) and (ii) has exercised independent judgment in evaluating its participation in the purchase of the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Investor understands that the Shares are being offered and sold to it in reliance on specific exemptions from the registration requirements of United States federal and state securities laws and exemptions from the prospectus requirements of applicable Canadian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Company (as that term is defined in Rule 405 promulgated under the Securities Act).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Trading Activities</w:t>
      </w:r>
      <w:r>
        <w:rPr>
          <w:rFonts w:ascii="Times New Roman" w:cs="Times New Roman" w:eastAsia="Times New Roman" w:hAnsi="Times New Roman"/>
          <w:sz w:val="18"/>
          <w:szCs w:val="18"/>
          <w:color w:val="auto"/>
        </w:rPr>
        <w:t>. The Investor’s trading activities with respect to the Shares shall be in compliance with all applicable securities laws, rules and regulations and the rules and regulations of the Principal U.S.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 Prior Short Sales</w:t>
      </w:r>
      <w:r>
        <w:rPr>
          <w:rFonts w:ascii="Times New Roman" w:cs="Times New Roman" w:eastAsia="Times New Roman" w:hAnsi="Times New Roman"/>
          <w:sz w:val="18"/>
          <w:szCs w:val="18"/>
          <w:color w:val="auto"/>
        </w:rPr>
        <w:t>. The Investor has not directly or indirectly, nor has any Person acting on behalf of or pursuant to any understanding with the Investor, engaged in any transactions in the securities of the Company (including, without limitation, any “short sales” (as such term is defined in Rule 200 of Regulation SHO of the Exchange Act) involving the Company's securities) during the period commencing as of the time that the Investor first contacted the Company or the Company's agents regarding the specific investment in the Company contemplated by this Agreement and ending immediately prior to the execution of this Agreement by the Investor.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Resale of Shares</w:t>
      </w:r>
      <w:r>
        <w:rPr>
          <w:rFonts w:ascii="Times New Roman" w:cs="Times New Roman" w:eastAsia="Times New Roman" w:hAnsi="Times New Roman"/>
          <w:sz w:val="18"/>
          <w:szCs w:val="18"/>
          <w:color w:val="auto"/>
        </w:rPr>
        <w:t>. The Investor represents, warrants and covenants that it will resell the Shares only pursuant to (i) a Registration Statement in which the resale of such Shares is registered under the Securities Act, in a manner described under the caption "Plan of Distribution" in such Registration Statement, and in a manner otherwise in material compliance with all applicable federal and state securities laws, rules and regulations, or (ii) pursuant to an exception or exemption from the registration provisions of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The Investor has, and at each Advance Date will have, sufficient funds available to enable it to make all required payments pursuant to the terms of this Agreement and in connection with the transactions contemplated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Investor nor, to the knowledge of the Investor, any director, officer or controlled affiliate of the Investor, is a Person that is, or is owned or controlled by a Person that is (i) the target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the Government of Canada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(currently including, the Crimea, Zaporizhzhia and Kherson regions of Ukraine,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Shares by the Investor. The Investor is not purchasing or acquiring the Shares as a result of any form of general solicitation or general advertising (within the meaning of Regulation D) in connection with any offer or sale of the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Investor (A) is a Cayman Islands exempt limited company; (B) made the decision to purchase the Shares and enter into this Agreement outside Canada; and (C) is resident in New Jersey,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Proceeds of Crime. The aggregate purchase price to be paid by the Investor is not derived in whole or in part from proceeds of crime.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xml:space="preserve">. Investor understands that the Shares have not been qualified for distribution by prospectus in any jurisdiction of Canada, and may not be offered for sale, sold, assigned or transferred in any jurisdiction of Canada except pursuant to a prospectus or exemption from the prospectus requirement under applicable securities laws in Canada. The Investor covenants and agrees that it shall not directly or indirectly make any offers or sales of securities in connection with this Agreement directly to any person whom, to the Investor’s knowledge, is (A) a person resident or located in a jurisdiction of Canada, (B) a person acquiring such securities for the benefit of another person resident or located in a jurisdiction of Canada, or (C) on any “marketplace” (as such term is defined in National Instrument 21-101 – </w:t>
      </w:r>
      <w:r>
        <w:rPr>
          <w:rFonts w:ascii="Times New Roman" w:cs="Times New Roman" w:eastAsia="Times New Roman" w:hAnsi="Times New Roman"/>
          <w:sz w:val="18"/>
          <w:szCs w:val="18"/>
          <w:i w:val="1"/>
          <w:iCs w:val="1"/>
          <w:color w:val="auto"/>
        </w:rPr>
        <w:t>Marketplace Operation</w:t>
      </w:r>
      <w:r>
        <w:rPr>
          <w:rFonts w:ascii="Times New Roman" w:cs="Times New Roman" w:eastAsia="Times New Roman" w:hAnsi="Times New Roman"/>
          <w:sz w:val="18"/>
          <w:szCs w:val="18"/>
          <w:color w:val="auto"/>
        </w:rPr>
        <w:t>) in Canada. The Investor shall take all further steps reasonably required to ensure compliance with the provisions of OSC Rule 72-503.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SEC Documents,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organized and validly existing and in good standing under the laws of their respective jurisdiction of organization, and have the requisite power and authority to own their properties and to carry on their business as now being conducted. Each of the Company and its Subsidiaries is duly qualified to do business (to the extent applicable) and is in good standing (to the extent applicable) in every jurisdiction in which the nature of the business conducted by it makes such qualification necessary, except to the extent that the failure to be so qualified or be in good standing has not had and would not be reasonably expected to have, individually or in the aggregate, a Material Adverse Effect.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Authorization, Enforcement, Compliance with Other Instruments.</w:t>
      </w:r>
      <w:r>
        <w:rPr>
          <w:rFonts w:ascii="Times New Roman" w:cs="Times New Roman" w:eastAsia="Times New Roman" w:hAnsi="Times New Roman"/>
          <w:sz w:val="18"/>
          <w:szCs w:val="18"/>
          <w:color w:val="auto"/>
        </w:rPr>
        <w:t xml:space="preserve"> The Company has the requisite corporate power and authority to enter into and perform its obligations under this Agreement and the other Transaction Documents to which it is a party and to issue the Shares in accordance with the terms hereof and thereof. Other than any shareholder approval required for any issuance of the Subordinate Voting Shares exceeding the Exchange Cap hereunder and to the extent the Company is not eligible to rely on the Home Country Practice, the execution and delivery by the Company of this Agreement and the other Transaction Documents to which it is a party, and the consummation by the Company of the transactions contemplated hereby and thereby (including, without limitation, the issuance of the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or otherwise affected by (i) bankruptcy, insolvency, fraudulent conveyance, reorganization, moratorium or other laws relating to or affecting the rights of creditors generally, (ii) principles of equity, whether considered at law or equity and (iii) except as rights to indemnity and contribution may be limited by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Shares to be issued under this Agreement have been, or with respect to Shares to be purchased by the Investor pursuant to an Advance Notice, will be, when issued and delivered pursuant to the terms approved by the board of directors of the Company,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in all material respects to the description thereof set forth in or incorporated into the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Subordinate Voting Shares) will not (i) result in a violation of the articles of incorporation or other organizational documents of the Company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have not had and would not be reasonably expected to have, individually or in the aggregate, a Material Adverse Effect.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Since the Company has been subject to the requirements of Section 12 of the Exchange Act, the Company has filed all reports, schedules, forms, statements and other documents required to be filed by it with the SEC pursuant to the Exchange Act, including, without limitation, the Current Report, each Registration Statement,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and all such filings required to be filed within the last 12 months (or since the Company has been subject to the requirements of Section 12 of the Exchange Act, if shorter) have been made on a timely basis (giving effect to permissible extensions in accordance with Rule 12b-25 under the Exchange Act). The Company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of the Company included or incorporated by reference (if applicable) in the SEC Documents, together with the related notes and schedules, present fairly, in all material respects, the financial position of the Company and the Subsidiaries as of the dates indicated and the consolidated results of operations, cash flows and changes in shareholders’ equity of the Company for the periods specified and have been prepared in compliance in all material respects with the requirements of the Securities Act and Exchange Act and in conformity in all material respects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in each case as in effect at the time of filing,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(iii) such adjustments which are not material, either individually or in the aggregate, (iv) as may be otherwise specified in such financial statements or notes thereto, and (v) ordinary course, year-end audit adjustments) during the periods involved; the other financial and statistical data with respect to the Company and the Subsidiaries contained or incorporated by reference (if applicable) in the SEC Documents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(if applicable) in the SEC Documents that are not included or incorporated by reference (if applicable) as required; the Company does not have any material liabilities or obligations, direct or contingent (including any off-balance sheet obligations), not described in the SEC Documents; and all disclosures contained or incorporated by reference (if applicable)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(if applicable) in the SEC Documents has been prepared in all material respects in accordance with the SEC’s rules and guidelines applicable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(if applicable) therein that were filed with the SEC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the Prospectus contained therein, and any required prospectus supplement.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Each Registration Statement, when it became or becomes effective, and any Prospectus, on the date of such Prospectus or any amendment or supplement thereto, conformed and will conform in all material respects with the requirements of the Securities Act. At each Advance Notice Date and applicable Advance Date, the Registration Statement, and the Prospectus, each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If applicable,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Each Registration Statement, each Prospectus, or any amendment or supplement thereto, and the documents incorporated by reference (if applicable)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Company’s share capital consists of an unlimited number of Class A Multiple Voting Shares (“Multiple Voting Shares”), an unlimited number of Subordinate Voting Shares and an unlimited number of Preferred Shares, issuable in series, of which 255,226,928 Multiple Voting Shares are outstanding, 43,284,436 Subordinate Voting Shares are outstanding and no Preferred Shares are outstanding.</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 Voting Shares are registered pursuant to Section 12(b) of the Exchange Act and are currently listed on a Principal U.S. Market under the trading symbol “XNDU.” The Company has taken no action designed to, or likely to have the effect of, terminating the registration of the Subordinate Voting Shares under the Exchange Act, delisting the Subordinate Voting Shares from the Principal U.S. Market, nor has the Company received any notification that the SEC or the Principal U.S. Market is contemplating terminating such registration or listing. To the Company’s knowledge, it is in compliance in all material respects with all applicable listing requirements of the Principal U.S. Market.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shares, interests or share capital is subject to preemptive rights or any other similar rights or liens suffered or permitted by the Company ; (B) there are no outstanding options, warrants, scrip, rights to subscribe to, calls or commitments of any character whatsoever relating to, or securities or rights convertible into, or exercisable or exchangeable for, any shares, interests or share capital of the Company, or contracts, commitments, understandings or arrangements by which the Company is or may become bound to issue additional shares, interests or share capital of the Company or options, warrants, scrip, rights to subscribe to, calls or commitments of any character whatsoever relating to, or securities or rights convertible into, or exercisable or exchangeable for, any shares, interests or share capital of the Company; (C) there are no agreements or arrangements under which the Company is obligated to register the sale of any of their securities under the Securities Act (except pursuant to this Agreement); (D) there are no outstanding securities or instruments of the Company which contain any redemption or similar provisions, and there are no contracts, commitments, understandings or arrangements by which the Company is or may become bound to redeem a security of the Company; (E) there are no securities or instruments containing anti-dilution or similar provisions that will be triggered by the issuance of the Shares; and (F) the Company has not entered into any Variable Rate Transaction, except Variable Rate Transactions which may be entered into with federal, provincial and municipal governments in Canada.</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has not had and would not be reasonably expected to have, individually or in the aggregate,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has not had and would not be reasonably expected to have, individually or in the aggregate,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has not had and would not be reasonably expected to have, individually or in the aggregate, a Material Adverse Effect, the Company is not aware of any facts or circumstances which might give rise to any of the foregoing.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involved in any labor dispute nor, to the knowledge of the Company or any of its Subsidiaries, has any such dispute threatened, in each case as is reasonably likely to cause a Material Adverse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have not received written notice alleging any failure to comply in all material respects with all Environmental Laws (as defined below), (ii) have received all material permits, licenses or other approvals required of them under applicable Environmental Laws to conduct their respective businesses and (iii) have not received written notice alleging any failure to comply with all terms and conditions of any such permit, license or approval, except, in each of the foregoing clauses (i), (ii) and (iii), as has not had and would not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has not had and would not be reasonably expected to have, individually or in the aggregate, a Material Adverse Effect, the Company (or its Subsidiaries) has good and valid title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be reasonably expected to have, individually or in the aggregate, a Material Adverse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has not had and would not be reasonably expected to have, individually or in the aggregate, a Material Adverse Effect,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Except as disclosed in the SEC Documents,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Except for such matters as have not had and would not be reasonably expected to have, individually or in the aggregate, a Material Adverse Effect, there is no action, suit, proceeding, or to the Company’s knowledge any inquiry or investigation before or by any court, public board, government agency, self-regulatory organization or body pending against or affecting the Company, the Subordinate Voting Shares or any of the Company’s Subsidiaries, and no such action, suit, proceeding, inquiry or investigation has been threatened in writing against the Company or any of its Subsidiaries, except for such matters as have not had and would not be reasonably expected to have, individually or in the aggregate, a Material Adverse Effect.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U.S. federal, state and non-U.S. income and all other tax returns, reports and declarations required by any jurisdiction to which it is subject or has properly requested extensions thereof, (ii) has timely paid all taxes and other governmental assessments and charges that are material in amount, shown or determined to be due on such returns, reports and declarations, if due and payable, except those being contested in good faith and (iii) has set aside on its books provision reasonably adequate for the payment of all taxes for periods subsequent to the periods to which such returns, reports or declarations apply, except in each case, where the failure to do so has not had and would not be reasonably expected to have, individually or in the aggregate, a Material Adverse Effect. The Company has not received written notification of any material unpaid taxes in any material amount claimed to be due by the taxing authority of any jurisdiction, and to the knowledge of the officers of the Company and its Subsidiaries there is no basis for any such claim where the failure to pay would have or would be reasonably expected to have, individually or in the aggregate, a Material Adverse Effect.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Company is not obligated to offer the Subordinate Voting Shares offered hereunder on a right of first refusal basis or otherwise to any third parties including, but not limited to, current or former shareholders of the Company, underwriters, brokers, agents or other third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The Company is aware and acknowledges that issuance of Subordinate Voting Shares hereunder could cause dilution to existing shareholders and could significantly increase the outstanding number of Subordinate Voting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Acknowledgment Regarding Investor’s Purchase of Shares</w:t>
      </w:r>
      <w:r>
        <w:rPr>
          <w:rFonts w:ascii="Times New Roman" w:cs="Times New Roman" w:eastAsia="Times New Roman" w:hAnsi="Times New Roman"/>
          <w:sz w:val="18"/>
          <w:szCs w:val="18"/>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a Registration Statement is not effective or if any issuances of Subordinate Voting Shares pursuant to any Advances would violate any rules of the Principal U.S. Market. The Company acknowledges and agrees that it is capable of evaluating and understanding, and understands and accepts, the terms, risks and conditions of the transactions contemplated by this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Neither the Company, nor any of its Subsidiaries, nor to the Company’s knowledge its affiliates or any person acting on its or their behalf, is a client or customer of the Investor or any of its affiliates and neither the Investor nor to the Company’s knowledge, any of its affiliates has provided any services to the Company or, to the Company’s knowledge, any of its affiliates, its subsidiaries, or any person acting on its or their behalf. The Investor’s relationship to Company is solely as investor as provided for in the Transaction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in material compliance with Applicable Laws and neither the Company nor the Subsidiaries, nor any director, officer, or employee of the Company or any Subsidiary nor, to the Company’s knowledge, any agent, affiliate or other person acting on behalf of the Company or any Subsidiary has failed to comply in any material respect with Applicable Laws; and no action, suit or proceeding by or before any governmental authority involving the Company or any of its Subsidiaries with respect to Applicable Laws is pending or, to the knowledge of the Company, threatened, except in each case as has not had and would not be reasonably expected to have, individually or in the aggregate, a Material Adverse Effect.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Applicable Laws; except as would not be reasonably expected to have, individually or in the aggregate, a Material Adverse Effect, the Company has not received a notice of non-compliance, nor knows of, nor has reasonable grounds to know of, any facts that any director, officer, or employee of the Company or any Subsidiary, in his or her capacity as such, nor, to the Company’s knowledge, any agent, Affiliate or other person acting on behalf of the Company or any Subsidiary, has failed to comply with Applicable Laws, in his, her or its capacity as such, or could give rise to a notice of non-compliance with Applicable Laws, and the Company is not aware of any pending change to any applicable law or regulation or governmental position; in each case, that would have or would be reasonably expected to have, individually or in the aggregate, a Material Adverse Effect.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target of any Sanctions, or (ii) located, organized or resident in a country or territory that is the subject of Sanctions that broadly prohibit dealings with that country or territory (including, without limitation, the Sanctioned Countries).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provided that nothing in this Agreement shall require the Company to take or refrain from any act to the extent that doing so would constitute a violation of the Foreign Extraterritorial Measures (United States) Order, 1992. For the past five years, neither the Company nor any of its Subsidiaries has engaged in, and the Company and its Subsidiaries are now not engaged in, any dealings or transactions with any Person, or in any country or territory, that at the time of the dealing or transaction is or was the subject of Sanctions, or in any country or territory that at the time of the transaction is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The Company is a “foreign private issuer,” within the meaning of Rule 3b-4 under the Exchange Act.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4.31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or will engage in any form of general solicitation or general advertising (within the meaning of Regulation D) in connection with the offer or sale of the Subordinate Voting Shares and the Subordinate Voting Shares are not being, and will not be, offered in a manner involving a public offering under, or in a distribution in violation of, the Securities Act, or any state securities laws, or, if applicable, any Canadian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V.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and the Company hereby agree to the following with respect to each other:</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consideration of the Investor’s execution and delivery of this Agreement and acquiring the Shares hereunder, and in addition to all of the Company’s other obligations under this Agreement, the Company shall defend, protect, indemnify and hold harmless the Investor, its investment manager, Yorkville Advisors Global, LP, and their respective Affiliates, and each of the foregoing’s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from and against any and all third-party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and documented out of pocket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losses, costs, penalties, fees, liabilities and damages, and reasonable and documented expenses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Indemnification by the Investor</w:t>
      </w:r>
      <w:r>
        <w:rPr>
          <w:rFonts w:ascii="Times New Roman" w:cs="Times New Roman" w:eastAsia="Times New Roman" w:hAnsi="Times New Roman"/>
          <w:sz w:val="18"/>
          <w:szCs w:val="18"/>
          <w:color w:val="auto"/>
        </w:rPr>
        <w:t>. In consideration of the Company’s execution and delivery of this Agreement, and in addition to all of the Investor’s other obligations under this Agreement, the Investor shall defend, protect, indemnify and hold harmless the Company, its Subsidiaries and all of its and their officers, directors, shareholders,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losses, costs, penalties, fees, liabilities and damages, and reasonable and documented expenses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and documented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the foregoing, no Party shall seek, nor shall any be entitled to recover from the other Party, punitive, indirect, incidental, consequential, special or exemplary damages or other damages based on lost profits.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Commitment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 Registration Statement</w:t>
      </w:r>
      <w:r>
        <w:rPr>
          <w:rFonts w:ascii="Times New Roman" w:cs="Times New Roman" w:eastAsia="Times New Roman" w:hAnsi="Times New Roman"/>
          <w:sz w:val="18"/>
          <w:szCs w:val="18"/>
          <w:color w:val="auto"/>
        </w:rPr>
        <w:t xml:space="preserve">. The Company shall use commercially reasonable efforts to prepare and file with the SEC a Registration Statement, or multiple Registration Statements for the resale by the Investor of the Registrable Securities. The Company in its sole discretion may choose when to file such Registration Statements;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have the ability to request any Advances until the effectiveness of a Registration Statement.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a Registration Statement</w:t>
      </w:r>
      <w:r>
        <w:rPr>
          <w:rFonts w:ascii="Times New Roman" w:cs="Times New Roman" w:eastAsia="Times New Roman" w:hAnsi="Times New Roman"/>
          <w:sz w:val="18"/>
          <w:szCs w:val="18"/>
          <w:color w:val="auto"/>
        </w:rPr>
        <w:t xml:space="preserve">. The Company shall use commercially reasonable efforts to maintain the effectiveness of any Registration Statement with respect to the Shares that has been declared effective at all times during the Commitment Period, provided, however, that if the Company has received notification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Subordinate Voting Shares shall cease to be authorized for listing on the Principal U.S. Market, (iii) the Subordinate Voting Shares cease to be registered under Section 12(b) or Section 12(g) of the Exchange Act or (iv) the Company fails to file in a timely manner all reports and other documents required of it as a reporting company under the Exchange Act. During such time that the Investor is informed that the Registration Statement is no longer effective or current, the Investor agrees not to sell any Subordinate Voting Shares pursuant to such Registration Statement.</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388" w:hanging="388"/>
        <w:spacing w:after="0" w:line="252"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Procedures</w:t>
      </w:r>
      <w:r>
        <w:rPr>
          <w:rFonts w:ascii="Times New Roman" w:cs="Times New Roman" w:eastAsia="Times New Roman" w:hAnsi="Times New Roman"/>
          <w:sz w:val="18"/>
          <w:szCs w:val="18"/>
          <w:color w:val="auto"/>
        </w:rPr>
        <w:t>. The Company shall (A) permit counsel to the Investor an opportunity to review and comment upon (i) each Registration Statement at least two (2) days prior to its filing with the SEC and (ii) all amendments and supplements to each Registration Statement (including, without limitation, the Prospectus contained therein) (except for Annual Reports on Form 20-F, Annual Reports on Form 40-F, Proxy Statements, Reports on Form 6-K, including financial statement and management’s discussion and analysis and any similar or successor reports or Prospectus Supplements the contents of which is limited to that set forth in such reports) within a reasonable number of days prior to their filing with the SEC (in each of which cases, if such document contains material non-public information, the Company shall refrain from providing such information during a Pricing Period, and any such information provided to the Investor will be kept confidential until filed or until it is not deemed material and/or nonpublic information anymore), and (B) shall reasonably consider any comments of the Investor and its counsel on any such Registration Statement or amendment or supplement thereto or to any Prospectus contained therein. If the Investor fails to provide comments to the Company within such two (2) Trading Day period, then the Company may file the Registration Statement, related amendment or related supplement, as applicable, without further delay.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to the extent such document is available on EDGAR.</w:t>
      </w:r>
    </w:p>
    <w:p>
      <w:pPr>
        <w:spacing w:after="0" w:line="191" w:lineRule="exact"/>
        <w:rPr>
          <w:rFonts w:ascii="Times New Roman" w:cs="Times New Roman" w:eastAsia="Times New Roman" w:hAnsi="Times New Roman"/>
          <w:sz w:val="18"/>
          <w:szCs w:val="18"/>
          <w:color w:val="auto"/>
        </w:rPr>
      </w:pPr>
    </w:p>
    <w:p>
      <w:pPr>
        <w:jc w:val="both"/>
        <w:ind w:left="388" w:hanging="388"/>
        <w:spacing w:after="0" w:line="252"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xml:space="preserve">. The Company shall use commercially reasonable efforts to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with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by reason of the Company’s filing of Annual Reports on Form 20-F, Annual Reports on Form 40-F, Proxy Statements, Reports on Form 6-K, including financial statement and management’s discussion and analysis, or any analogous report under the Exchange Act that updates or changes material information included in the Registration Statement and the related prospectus), provided that such report is not automatically incorporated by reference into the applicable Registration Statement, the Company shall use commercially reasonable efforts to file such report in a prospectus supplement filed pursuant to Rule 424 promulgated under the Securities Act to incorporate such filing into the prospectus included in the Registration Statement, if applicable and permitted, or to file such amendments or supplements to the Registration Statement with the SEC either on the day on which the Exchange Act report is filed which created the requirement for the Company to amend or supplement the Registration Statement, if feasible, or otherwise promptly thereafter.</w:t>
      </w:r>
    </w:p>
    <w:p>
      <w:pPr>
        <w:spacing w:after="0" w:line="191" w:lineRule="exact"/>
        <w:rPr>
          <w:rFonts w:ascii="Times New Roman" w:cs="Times New Roman" w:eastAsia="Times New Roman" w:hAnsi="Times New Roman"/>
          <w:sz w:val="18"/>
          <w:szCs w:val="18"/>
          <w:color w:val="auto"/>
        </w:rPr>
      </w:pPr>
    </w:p>
    <w:p>
      <w:pPr>
        <w:jc w:val="both"/>
        <w:ind w:left="388" w:hanging="388"/>
        <w:spacing w:after="0" w:line="253"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its commercially reasonable efforts to, if required by Applicable Laws, (i) register and qualify the Subordinate Voting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Subordinate Voting Shares for sale in such jurisdictions; provided, however, that the Company shall not be required in connection therewith or as a condition thereto to (w) make any change to the organizational documents of the Company or any of its Subsidiaries,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Subordinate Voting Shares for sale under the securities or “blue sky” laws of any jurisdiction in the United States or its receipt of actual notice of the initiation or threat of any proceeding for such purpose.</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Suspension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 Black Out Period</w:t>
      </w:r>
      <w:r>
        <w:rPr>
          <w:rFonts w:ascii="Times New Roman" w:cs="Times New Roman" w:eastAsia="Times New Roman" w:hAnsi="Times New Roman"/>
          <w:sz w:val="18"/>
          <w:szCs w:val="18"/>
          <w:color w:val="auto"/>
        </w:rPr>
        <w:t>. During the Commitment Period, the Company from time to time may suspend the use of the Registration Statement by written notice to the Investor in the event that the Company determines in its sole discretion that such suspension is necessary to (i) delay the disclosure of material non-public information concerning the Company, the disclosure of which at the time is not, in the good faith opinion of the Company, in the best interests of the Company, or (ii)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18"/>
          <w:szCs w:val="18"/>
          <w:u w:val="single" w:color="auto"/>
          <w:color w:val="auto"/>
        </w:rPr>
        <w:t>Black 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720" w:right="20" w:hanging="388"/>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Sales by Investor During the Black Out Period</w:t>
      </w:r>
      <w:r>
        <w:rPr>
          <w:rFonts w:ascii="Times New Roman" w:cs="Times New Roman" w:eastAsia="Times New Roman" w:hAnsi="Times New Roman"/>
          <w:sz w:val="18"/>
          <w:szCs w:val="18"/>
          <w:color w:val="auto"/>
        </w:rPr>
        <w:t>. During such Black Out Period, the Investor agrees not to sell any Subordinate Voting Shares of the Company pursuant to such Registration Statement, but may sell shares pursuant to an exemption from registration, if available, subject to the Investor’s compliance with Applicable Laws.</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Black Out Period</w:t>
      </w:r>
      <w:r>
        <w:rPr>
          <w:rFonts w:ascii="Times New Roman" w:cs="Times New Roman" w:eastAsia="Times New Roman" w:hAnsi="Times New Roman"/>
          <w:sz w:val="18"/>
          <w:szCs w:val="18"/>
          <w:color w:val="auto"/>
        </w:rPr>
        <w:t>. The Company shall not impose any Black Out Period that is longer than 45 consecutive days (or 90 days in any calendar year)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after such announcement, and the Company shall immediately notify the Investor of the termination of the Black Out Period.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Listing of Subordinate Voting Shares</w:t>
      </w:r>
      <w:r>
        <w:rPr>
          <w:rFonts w:ascii="Times New Roman" w:cs="Times New Roman" w:eastAsia="Times New Roman" w:hAnsi="Times New Roman"/>
          <w:sz w:val="18"/>
          <w:szCs w:val="18"/>
          <w:color w:val="auto"/>
        </w:rPr>
        <w:t>. As of each Advance Notice Date and the relevant Advance Date, the Shares to be sold by the Company from time to time hereunder will have been registered under Section 12(b) of the Exchange Act and approved for listing on the Principal Markets, subject to official notice of issuance.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Prior to the date of the delivery by the Company of the first Advance Notice, the Investor shall have received an opinion letter from Canadian and U.S. counsel to the Company substantially in a form and in substance reasonably satisfactory to the Investor.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will use commercially reasonable efforts to file in a timely manner all reports and other documents required of it as a foreign private issuer under the Exchange Act and will not, during the Commitment Period, take any action or file any document (whether or not permitted by Exchange Act or the rules thereunder) to terminate or suspend its reporting and filing obligations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xml:space="preserve">. During the Commitment Period (or such shorter time as permitted by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and subject to Applicable Laws, the Company shall cause (including, if necessary, by causing legal counsel for the Company to deliver a customary opinion) the transfer agent for the Subordinate Voting Shares to remove restrictive legends from Subordinate Voting Shares purchased by the Investor pursuant to this Agreement, provided that counsel for the Company shall have been furnished with such documents as they may require for the purpose of enabling them to render such opinions or making the statements requested by the transfer agent or in order to evidence the accuracy of any of the representations or warranties, or the fulfillment of any of the covenants, obligations or conditions, contained herein.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will use commercially reasonable efforts to preserve and continue the corporate existence of the Company during the Commitment Period which for the avoidance of doubt shall not include any reorganization, acquisition, merger, business combination or other transaction in which the corporate entity of the Company survives.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Notice of Certain Events Affecting Registration; Suspension of Right to Make an Advance</w:t>
      </w:r>
      <w:r>
        <w:rPr>
          <w:rFonts w:ascii="Times New Roman" w:cs="Times New Roman" w:eastAsia="Times New Roman" w:hAnsi="Times New Roman"/>
          <w:sz w:val="18"/>
          <w:szCs w:val="18"/>
          <w:color w:val="auto"/>
        </w:rPr>
        <w:t xml:space="preserve">. The Company will promptly notify the Investor, and confirm in writing, upon its becoming aware of the occurrence of any of the following events in respect of a Registration Statement or related Prospectus (i) receipt of any request for additional information by the SEC or any other Federal or state governmental authority during the period of effectiveness of the Registration Statement the response to which would require any post-effective amendments or supplements to the Registration Statement or the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Subordinate Voting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provided, however, the Company shall not be required to furnish any documents to the extent such document is available for access on EDGAR); (v) the Company’s reasonable determination that a post-effective amendment to the Registration Statement would be required under Applicable Law; (vi) the Subordinate Voting Shares shall cease to be authorized for listing on the Principal U.S.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during the continuation of any of the foregoing events (each of the events described in the immediately preceding clauses (i) through (vii), inclusive, a “</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06"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xml:space="preserve">.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hereof, and all Shares in connection with such Advance have been received by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Issuance of the Company’s Subordinate Voting Shares.</w:t>
      </w:r>
      <w:r>
        <w:rPr>
          <w:rFonts w:ascii="Times New Roman" w:cs="Times New Roman" w:eastAsia="Times New Roman" w:hAnsi="Times New Roman"/>
          <w:sz w:val="18"/>
          <w:szCs w:val="18"/>
          <w:color w:val="auto"/>
        </w:rPr>
        <w:t xml:space="preserve"> The issuance and sale of the Subordinate Voting Shares hereunder shall be made in accordance with the provisions and requirements of Section 4(a)(2) of the Securities Act and any applicable state securities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reasonable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reasonably requested by the Investor, (vi) the fees and expenses incurred in connection with the listing or qualification of the Shares for trading on the Principal U.S. Market and the TSX, and (vii) filing fees of the SEC.</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The Company shall, as soon as reasonably practicable following the dissemination of the press release referred to in Section 2.05, file with the SEC a report on Form 6-K describing the execution of this Agreement by the Company and the Investor (including any exhibits thereto,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provide the Investor and its legal counsel a reasonable opportunity to comment on a draft of the press release, Current Report including any exhibits to be filed related thereto, as applicable, prior to filing the Current Report with the SEC and shall reasonably consider all such comments. Notwithstanding anything contained in this Agreement to the contrary, the Company expressly agrees that from and after the filing of the Current Report with the SEC and the dissemination of the press release referred to in Section 2.05, the Company shall have publicly disclosed all material, non-public information provided to the Investor (or the Investor’s representatives or agents) by the Company or any of its Subsidiaries, or any of their respective officers, directors, employees, agents or representatives (if any) in connection with the transactions contemplated by the Transaction Documents. Except in accordance with this Agreement, (including, for the avoidance of doubt, any notification of a Black Out Period or Material Outside Event pursuant to this Agreement),the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by the Transaction Documents, which, following the Effective Date would, if not so disclosed, constitute material, non-public information regarding the Company or its Subsidiaries. The Company understands and confirms that the Investor will rely on the foregoing representations in effecting resales of Shares in accordance with this Agreement.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Advance Notice Limitation</w:t>
      </w:r>
      <w:r>
        <w:rPr>
          <w:rFonts w:ascii="Times New Roman" w:cs="Times New Roman" w:eastAsia="Times New Roman" w:hAnsi="Times New Roman"/>
          <w:sz w:val="18"/>
          <w:szCs w:val="18"/>
          <w:color w:val="auto"/>
        </w:rPr>
        <w:t>. The Company shall not deliver an Advance Notice if a shareholder meeting or corporate action,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proceeds from the sale of the Subordinate Voting Shares hereunder for working capital and other general corporate purposes or, if different, in a manner consistent with the application thereof described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or lend, contribute, facilitate or otherwise make available such proceeds to any Person (i) to fund, either directly or indirectly, any activities or business of or with any Person that is identified on the list of Specially Designated Nationals and Blocker Persons maintained by OFAC, or in any country or territory, that, at the time of such funding, is, or whose government is, the subject of Sanctions or Sanctions Programs, or (ii) in any other manner that will result in a violation of Sanctions or Applicable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comply in all material respects with all Applicable Laws.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Subordinate Voting Shares or (ii) sell, bid for, or purchase Subordinate Voting Shares in violation of Regulation M, or pay anyone any compensation for soliciting purchases of the Shares; provided, however, that nothing contained in this Section 6.16 shall limit the Company in any way from initiating, discussing, negotiating, engaging in any agreement, effecting, closing or otherwise taking any action (including making any filing with any governmental authority, issuing any securities or registering any securities for trading on any stock exchange) in connection with any private or public offering of the Company’s securities.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xml:space="preserve">. On any Trading Day in which the Investor bought or sold any Subordinate Voting Shares, or on any other Trading Day at the reasonable request of the Company, the Investor agrees to provide the Company with trading reports setting forth the number of Subordinate Voting Shares held long by the Investor, the number of Subordinate Voting Shares sold by the Investor and the average sales price of Subordinate Voting Shares sold by the Investor during such Trading Day. The Investor shall provide the Company any information reasonably requested in order to complete filings on Form 72-503F – </w:t>
      </w:r>
      <w:r>
        <w:rPr>
          <w:rFonts w:ascii="Times New Roman" w:cs="Times New Roman" w:eastAsia="Times New Roman" w:hAnsi="Times New Roman"/>
          <w:sz w:val="18"/>
          <w:szCs w:val="18"/>
          <w:i w:val="1"/>
          <w:iCs w:val="1"/>
          <w:color w:val="auto"/>
        </w:rPr>
        <w:t>Report of Distributions Outside of Canada.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Selling Restrictions</w:t>
      </w:r>
      <w:r>
        <w:rPr>
          <w:rFonts w:ascii="Times New Roman" w:cs="Times New Roman" w:eastAsia="Times New Roman" w:hAnsi="Times New Roman"/>
          <w:sz w:val="18"/>
          <w:szCs w:val="18"/>
          <w:color w:val="auto"/>
        </w:rPr>
        <w:t xml:space="preserve">. Except as expressly set forth below, the Investor covenants that from and after the date hereof through and including the Trading Day next following the expiration or termination of this Agreement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the Investor, any of its officers, directors, partners, employees, Affiliate or any entity managed or controlled by the Investor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Subordinate Voting Shares, either for its own principal account or for the principal account of any other Restricted Person, and shall further (a) not engage in any agreement, solicitation or understanding with respect to the foregoing, and (b) not take any actions, with respect to locating or borrowing shares in order to effect short sales or similar transactions in the Company’s securities.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any Subordinate Voting Shares; or (2) selling a number of Subordinate Voting Shares equal to the number of Advance Shares that such Restricted Person is unconditionally obligated to purchase under a pending Advance Notice but has not yet received from the Company or the transfer agent pursuant to this Agreement.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Company covenants and agrees that, other than as expressly required by Section 6.08 and subject to Section 6.12 hereof,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information to the public, unless prior to disclosure of such information the Company identifies such information as being material non-public information and the Investor agrees in writing to accept such material non-public information for review. Unless specifically agreed to in writing, in no event shall the Investor have a duty of confidentiality or be deemed to have agreed to maintain information in confidence, with respect to the delivery of any Advance Notices. For certainty, the Investor shall at all times keep confidential any notification by the Company of a Black Out Period or Material Outside Event until the time at which such information has been generally disclosed in the manner contemplated by this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No Frustration</w:t>
      </w:r>
      <w:r>
        <w:rPr>
          <w:rFonts w:ascii="Times New Roman" w:cs="Times New Roman" w:eastAsia="Times New Roman" w:hAnsi="Times New Roman"/>
          <w:sz w:val="18"/>
          <w:szCs w:val="18"/>
          <w:color w:val="auto"/>
        </w:rPr>
        <w:t>. For so long as an Advance Notice is pending and any sales pursuant to such notice have not settled, 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an Advance Notice.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 Exclusive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this Agreement and the rights awarded to the Investor hereunder are non-exclusive, and the Company may, at any time throughout the term of this Agreement and thereafter, issue, sell and allot, or undertake to issue, sell and allot, any shares, warrants and/or securities and/or convertible notes, bonds, debentures, options to acquire shares or other securities and/or other facilities which may be converted into or replaced by Subordinate Voting Shares or other securities of the Company, and may extend, renew and/or recycle any bonds and/or debentures, and/or grant any rights with respect to its existing and/or future share capital.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Law/Jurisdiction; Waiver of Jury Trial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8.01 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of and laying of venue in the Supreme Court of the State of New York, sitting in New York County, New York and the United States District Court of the Southern District of New York, sitting in New York, New York, for the adjudication of any civil action filed pursuant to this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8.02 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right="20" w:firstLine="8"/>
        <w:spacing w:after="0" w:line="260" w:lineRule="auto"/>
        <w:tabs>
          <w:tab w:leader="none" w:pos="3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PARTY HERETO HAVE BEEN INDUCED TO ENTER INTO THIS AGREEMENT BY, AMONG OTHER THINGS, THE MUTUAL WAIVERS AND CERTIFICATIONS IN THIS PARAGRAPH.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as provided hereunder, this Agreement shall terminate automatically on the earlier of (i) 36 months following the Effective Date or (ii) the date on which the Investor shall have made payment of Advances pursuant to this Agreement for Subordinate Voting Shares equal to the Commitment Amount.</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this Agreement effective at any time upon two (2) days written notice to the Investor; provided that (i) there are no outstanding Advance Notices, the Subordinate Voting Shares under which have yet to be issued and paid for, and (ii) the Company has paid any amounts owed to the Investor pursuant to this Agreement as of the time of such termination. This Agreement may be terminated at any time by the mutual written consent of the Parties, effective as of the date of such mutual written consent unless otherwise provided in such written consent.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be deemed to release the Company or the Investor from any liability for any breach under this Agreement prior to the valid termination hereof, or to impair the rights of the Company and the Investor to compel specific performance by the other party of its obligations under this Agreement prior to the valid termination hereof. The indemnification provisions contained in Article V shall survive termination hereunder.</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Other than with respect to Advance Notices, which must be in writing delivered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will be deemed delivered on the day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calendar days after being sent by certified mail, return receipt requested, or (iv) 1 calendar day after deposit with a nationally recognized overnight delivery service, in each case properly addressed to the party to receive the same. The addresses for such communications (except for Advance Notices which shall be delivered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hereof) shall be:</w:t>
      </w:r>
    </w:p>
    <w:p>
      <w:pPr>
        <w:sectPr>
          <w:pgSz w:w="11900" w:h="16838" w:orient="portrait"/>
          <w:cols w:equalWidth="0" w:num="1">
            <w:col w:w="11240"/>
          </w:cols>
          <w:pgMar w:left="320" w:top="90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Xanadu Quantum Technologies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Bay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M5G 2C8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Natalie Wilmore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Osler, Hoskin &amp; Harcourt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King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M5X 1B8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Chad Bayne; James R. Brown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cbayne@osler.com; jbrown@osler.com</w:t>
      </w:r>
    </w:p>
    <w:p>
      <w:pPr>
        <w:spacing w:after="0" w:line="200" w:lineRule="exact"/>
        <w:rPr>
          <w:sz w:val="20"/>
          <w:szCs w:val="20"/>
          <w:color w:val="auto"/>
        </w:rPr>
      </w:pPr>
    </w:p>
    <w:p>
      <w:pPr>
        <w:sectPr>
          <w:pgSz w:w="11900" w:h="16838" w:orient="portrait"/>
          <w:cols w:equalWidth="0" w:num="2">
            <w:col w:w="3100" w:space="520"/>
            <w:col w:w="7620"/>
          </w:cols>
          <w:pgMar w:left="320" w:top="900" w:right="339" w:bottom="1440" w:gutter="0" w:footer="0" w:header="0"/>
          <w:type w:val="continuous"/>
        </w:sectPr>
      </w:pP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3 Embarcadero Center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20th Floor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Attn: Kristin VanderPas; Peter Byrne</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Email: kvanderpas@cooley.com; pbyrne@cooley.com</w:t>
      </w:r>
    </w:p>
    <w:p>
      <w:pPr>
        <w:sectPr>
          <w:pgSz w:w="11900" w:h="16838" w:orient="portrait"/>
          <w:cols w:equalWidth="0" w:num="1">
            <w:col w:w="11240"/>
          </w:cols>
          <w:pgMar w:left="320" w:top="900"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 Springfield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David Fine,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 Springfield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100" w:space="520"/>
            <w:col w:w="7620"/>
          </w:cols>
          <w:pgMar w:left="320" w:top="900" w:right="339" w:bottom="1440" w:gutter="0" w:footer="0" w:header="0"/>
          <w:type w:val="continuous"/>
        </w:sectPr>
      </w:pPr>
    </w:p>
    <w:p>
      <w:pPr>
        <w:spacing w:after="0" w:line="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Article XI. Miscellaneous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identical counterparts, each of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 The failure of any party hereto to exercise any right, power or remedy provided under this Agreement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remedy available to it hereunder or any other right, power or remedy or to demand strict compliance with the terms of this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Reporting Entity for the Subordinate Voting Shares</w:t>
      </w:r>
      <w:r>
        <w:rPr>
          <w:rFonts w:ascii="Times New Roman" w:cs="Times New Roman" w:eastAsia="Times New Roman" w:hAnsi="Times New Roman"/>
          <w:sz w:val="18"/>
          <w:szCs w:val="18"/>
          <w:color w:val="auto"/>
        </w:rPr>
        <w:t>. The reporting entity relied upon for the determination of the trading price or trading volume of the Subordinate Voting Shares on any given Trading Day for the purposes of this Agreement shall be Bloomberg, L.P. or any successor thereto. The written mutual consent of the Investor and the Company shall be required to employ any other reporting entity.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Commitment and Structuring Fee</w:t>
      </w:r>
      <w:r>
        <w:rPr>
          <w:rFonts w:ascii="Times New Roman" w:cs="Times New Roman" w:eastAsia="Times New Roman" w:hAnsi="Times New Roman"/>
          <w:sz w:val="18"/>
          <w:szCs w:val="18"/>
          <w:color w:val="auto"/>
        </w:rPr>
        <w:t>. Each of the Parties shall pay its own fees and expenses (including the fees of any attorneys, accountants, appraisers or others engaged by such party) in connection with this Agreement and the transactions contemplated hereby, except that the Company has paid the Investor or its designee a structuring fee in the amount of $25,000, and the Company shall pay a commitment fee in an amount equal to 0.45% of the Commitment Amount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which shall be fully earned upon the execution of this Agreement and shall, at the option of the Company, either (i) be paid in shares by the issuance to the Investor within three Business Days of the date hereof of such number of Subordinate Voting Shares that is equal to the Commitment Fee divided by the last closing price of the Subordinate Voting Shares on the Nasdaq, as of the signing of this Agreement, subject to the TSX Minimum Price (collectively,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or (ii) be paid in cash with 10% of the gross proceeds from the closing of each Advance hereunder to be deducted by the Investor from the total Purchase Price payable to the Company from each such Advance, until the entire Commitment Fee paid in full. Notwithstanding the foregoing, (a) any portion of the Commitment Fee that remains unpaid upon the termination of this Agreement shall be immediately paid by the Company to the Investor in cash, (b) to the extent that, on the twelve-month anniversary of the date of this Agreement, any unpaid portion of the Commitment Fee shall be immediately paid by the Company to the Investor in cash. Any Commitment Shares issued hereunder shall be included on the initial Registration Statement. Upon issuance, the Commitment Shares issued hereunder shall bear a restrictive legend in substantially the following form:</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 OR THE COMPANY IS OTHERWISE SATISFIED, IN ITS SOLE DISCRETION, THAT REGISTRATION IS NOT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shall comply with OSC Rule 72-503 with respect to the Commitment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references in this Agreement, any Advance Notice and any Settlement Document to sums of money shall be, unless the contrary is expressly indicated, to sums in lawful money of the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Standby Equity Purchase Agreement to be executed by the undersigned,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set forth above.</w:t>
      </w:r>
    </w:p>
    <w:p>
      <w:pPr>
        <w:spacing w:after="0" w:line="1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229"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36"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Yorkville Advisors Global, LP</w:t>
      </w:r>
    </w:p>
    <w:p>
      <w:pPr>
        <w:spacing w:after="0" w:line="27"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Yorkville Advisors Global II, LLC General Partner</w:t>
      </w:r>
    </w:p>
    <w:p>
      <w:pPr>
        <w:spacing w:after="0" w:line="162" w:lineRule="exact"/>
        <w:rPr>
          <w:sz w:val="20"/>
          <w:szCs w:val="20"/>
          <w:color w:val="auto"/>
        </w:rPr>
      </w:pPr>
    </w:p>
    <w:p>
      <w:pPr>
        <w:sectPr>
          <w:pgSz w:w="11900" w:h="16838" w:orient="portrait"/>
          <w:cols w:equalWidth="0" w:num="2">
            <w:col w:w="7500" w:space="280"/>
            <w:col w:w="3460"/>
          </w:cols>
          <w:pgMar w:left="320" w:top="900" w:right="339" w:bottom="1440" w:gutter="0" w:footer="0" w:header="0"/>
          <w:type w:val="continuous"/>
        </w:sectPr>
      </w:pPr>
    </w:p>
    <w:p>
      <w:pPr>
        <w:ind w:left="7240"/>
        <w:spacing w:after="0"/>
        <w:tabs>
          <w:tab w:leader="none" w:pos="77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Matthew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945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94560" cy="17145"/>
                    </a:xfrm>
                    <a:prstGeom prst="rect">
                      <a:avLst/>
                    </a:prstGeom>
                    <a:noFill/>
                  </pic:spPr>
                </pic:pic>
              </a:graphicData>
            </a:graphic>
          </wp:anchor>
        </w:drawing>
      </w:r>
    </w:p>
    <w:p>
      <w:pPr>
        <w:spacing w:after="0" w:line="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Matthew Beckman</w:t>
      </w:r>
    </w:p>
    <w:p>
      <w:pPr>
        <w:spacing w:after="0" w:line="36" w:lineRule="exact"/>
        <w:rPr>
          <w:sz w:val="20"/>
          <w:szCs w:val="20"/>
          <w:color w:val="auto"/>
        </w:rPr>
      </w:pPr>
    </w:p>
    <w:p>
      <w:pPr>
        <w:ind w:left="724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I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shall mean any issuance and sale of Advance Shares by the Company to the Investor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mean the first Trading Day after expiration of the applicable Pricing Period for each Advance.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shall mean a written notice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the Investor executed by an officer of the Company and setting forth the number of Advance Shares that the Company desires to issue and sell to the Investor.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 Date</w:t>
      </w:r>
      <w:r>
        <w:rPr>
          <w:rFonts w:ascii="Times New Roman" w:cs="Times New Roman" w:eastAsia="Times New Roman" w:hAnsi="Times New Roman"/>
          <w:sz w:val="18"/>
          <w:szCs w:val="18"/>
          <w:color w:val="auto"/>
        </w:rPr>
        <w:t xml:space="preserve">” shall mean each date the Company is deemed to have delivered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of this Agreement) an Advance Notice to the Investor, subject to the terms of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Shares</w:t>
      </w:r>
      <w:r>
        <w:rPr>
          <w:rFonts w:ascii="Times New Roman" w:cs="Times New Roman" w:eastAsia="Times New Roman" w:hAnsi="Times New Roman"/>
          <w:sz w:val="18"/>
          <w:szCs w:val="18"/>
          <w:color w:val="auto"/>
        </w:rPr>
        <w:t>” shall mean the Subordinate Voting Shares that the Company shall issue and sell to the Investor pursuant to an Advance Notice delivered in accordance with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all applicable laws, statutes, rules, regulations, orders, decrees, rulings, injunctions, executive orders, directives, policies, guidelines and codes having the force of law, whether local, national, or international, as amended from time to time, including without limitation</w:t>
      </w:r>
    </w:p>
    <w:p>
      <w:pPr>
        <w:jc w:val="both"/>
        <w:ind w:firstLine="8"/>
        <w:spacing w:after="0" w:line="255" w:lineRule="auto"/>
        <w:tabs>
          <w:tab w:leader="none" w:pos="2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Price</w:t>
      </w:r>
      <w:r>
        <w:rPr>
          <w:rFonts w:ascii="Times New Roman" w:cs="Times New Roman" w:eastAsia="Times New Roman" w:hAnsi="Times New Roman"/>
          <w:sz w:val="18"/>
          <w:szCs w:val="18"/>
          <w:color w:val="auto"/>
        </w:rPr>
        <w:t>” shall mean a price per Share equal to the quotient obtained by dividing (i) the aggregate gross purchase price paid by the Investor for all Shares purchased pursuant to this Agreement, by (ii) the aggregate number of Shares issued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except any Saturday, any Sunday, any day which is a federal legal holiday in the United States, a federal, provincial or municipal holiday in Toronto, Ontario, or any day on which banking institutions in the State of New York or in Toronto, Ontario are authorized or required by Applicable Law to close.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shall mean $300 million of Subordinate Voting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xml:space="preserve">” shall mean the period commencing on the Effective Date and expiring upon the date of termination of this Agreement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Traded Amount</w:t>
      </w:r>
      <w:r>
        <w:rPr>
          <w:rFonts w:ascii="Times New Roman" w:cs="Times New Roman" w:eastAsia="Times New Roman" w:hAnsi="Times New Roman"/>
          <w:sz w:val="18"/>
          <w:szCs w:val="18"/>
          <w:color w:val="auto"/>
        </w:rPr>
        <w:t>” shall mean the daily trading volume of the Subordinate Voting Shares on the Principal U.S. Market during regular trading hours as reported by Bloomberg L.P.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this Agreement is executed.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set forth in Section 4.06.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 Practice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Intra-Day VWAP</w:t>
      </w:r>
      <w:r>
        <w:rPr>
          <w:rFonts w:ascii="Times New Roman" w:cs="Times New Roman" w:eastAsia="Times New Roman" w:hAnsi="Times New Roman"/>
          <w:sz w:val="18"/>
          <w:szCs w:val="18"/>
          <w:color w:val="auto"/>
        </w:rPr>
        <w:t>” shall mean, for any applicable period specified in this Agreement, the volume weighted average price of the Subordinate Voting Shares on the Principal U.S. Market during such period, as reported by Bloomberg L.P. through its “AQR” function (or, if not reported by Bloomberg L.P. through such function, such other Bloomberg L.P. function that reports such volume weighted average price for the relevant period), based on transactions executed during such relevant period; provided that if Bloomberg L.P. ceases to report such information, the Intra-Day VWAP shall be determined using a reporting service reasonably agreed to by the Parties.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shall mean the VWAP of the Subordinate Voting Shares during the relevant Pricing Period, provided that such price shall not be lower than the Minimum Acceptable Price, if any, in respect of such Advance.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or condition that has had or would reasonably be expected to have a material adverse effect on the results of operations, assets, business or condition (financial or otherwise) of the Company and its Subsidiaries, taken as a whole.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Advance Amount</w:t>
      </w:r>
      <w:r>
        <w:rPr>
          <w:rFonts w:ascii="Times New Roman" w:cs="Times New Roman" w:eastAsia="Times New Roman" w:hAnsi="Times New Roman"/>
          <w:sz w:val="18"/>
          <w:szCs w:val="18"/>
          <w:color w:val="auto"/>
        </w:rPr>
        <w:t>” in respect of each Advance Notice means such number of Subordinate Voting Shares equal to $25,000,000 as of the date of each Advance Notice (determined based on the last closing price of the Subordinate Voting Shares on the Principal U.S. Market prior to delivery of such Advance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Acceptable Price</w:t>
      </w:r>
      <w:r>
        <w:rPr>
          <w:rFonts w:ascii="Times New Roman" w:cs="Times New Roman" w:eastAsia="Times New Roman" w:hAnsi="Times New Roman"/>
          <w:sz w:val="18"/>
          <w:szCs w:val="18"/>
          <w:color w:val="auto"/>
        </w:rPr>
        <w:t>” shall mean the minimum price notified by the Company to the Investor in each Advance Notice, if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OSC Rule 72-503</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 limited liability company, a trust or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“Personal Information Form” means a personal information form on Form 4 as prescribed by the TSX.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mean the section of a Registration Statement disclosing the plan of distribution of the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shall mean the period on the applicable Advance Notice Date commencing upon receipt by the Company of written confirmation (which may be by e-mail) of receipt of such Advance Notice by the Investor, and which confirmation shall specify such commencement time, and ending on 4:00 p.m. New York City time on the same Trading Day (unless otherwise agreed by the Parties, or a Pricing Period is terminated pursuant to the terms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U.S. Market</w:t>
      </w:r>
      <w:r>
        <w:rPr>
          <w:rFonts w:ascii="Times New Roman" w:cs="Times New Roman" w:eastAsia="Times New Roman" w:hAnsi="Times New Roman"/>
          <w:sz w:val="18"/>
          <w:szCs w:val="18"/>
          <w:color w:val="auto"/>
        </w:rPr>
        <w:t>” shall mean the Nasdaq Global Market; provided however, that in the event the Subordinate Voting Shares are ever listed or traded on the Nasdaq Global Select Market, the Nasdaq Capital Market, the New York Stock Exchange, the NYSE American, or any other nationally recognized securities exchange or quotation system in the United States registered with the SEC under Section 6 of the Exchange Act, then the “Principal U.S. Market” shall mean such other market or exchange on which the Subordinate Voting Shares are then listed or traded to the extent such other market or exchange is the principal trading market or exchange for the Subordinate Voting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Markets</w:t>
      </w:r>
      <w:r>
        <w:rPr>
          <w:rFonts w:ascii="Times New Roman" w:cs="Times New Roman" w:eastAsia="Times New Roman" w:hAnsi="Times New Roman"/>
          <w:sz w:val="18"/>
          <w:szCs w:val="18"/>
          <w:color w:val="auto"/>
        </w:rPr>
        <w:t>” means the Toronto Stock Exchange and the Principal U.S. Market.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any prospectus (including, without limitation, all amendments and supplements thereto) used by the Company in connection with a Registration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any prospectus supplement to a Prospectus filed with the SEC from time to time pursuant to Rule 424(b) under the Securities Act, including the documents incorporated by reference (if applicable) therein, including, without limitation, any prospectus supplement to be filed in accordance with Section 6.01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price per Advance Share obtained by multiplying the Market Price by 97.50%, provided that if such price is less than the TSX Minimum Price, “Purchase Price” shall mean the applicable TSX Minimum Price.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Reduced Advance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(i) the Shares, and (ii) any securities issued or issuable with respect to the Shares by way of exchange, share dividend or share split or in connection with a combination of shares, recapitalization, merger, consolidation or other reorganization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 registration statement on Form F-1 or Form F-3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the provisions of Regulation D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Commitment Shares and the Subordinate Voting Shares to be issued from time to time hereunder pursuant to an Advance.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 Voting Share Equivalents</w:t>
      </w:r>
      <w:r>
        <w:rPr>
          <w:rFonts w:ascii="Times New Roman" w:cs="Times New Roman" w:eastAsia="Times New Roman" w:hAnsi="Times New Roman"/>
          <w:sz w:val="18"/>
          <w:szCs w:val="18"/>
          <w:color w:val="auto"/>
        </w:rPr>
        <w:t>” shall mean any securities of the Company or its Subsidiaries which entitle the holder thereof to acquire at any time Subordinate Voting Shares, including, without limitation, any debt, preference shares, rights, options, warrants or other instrument that is at any time convertible into or exercisable or exchangeable for, or otherwise entitles the holder thereof to receive, Subordinate Voting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 Voting Shares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any Person in which the Company, directly or indirectly, (x) owns a majority of the outstanding share capital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during which the Principal U.S. Market shall be open for business.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collectively, this Agreement and each of the other agreements and instruments entered into or delivered by the Parties hereto in connection with the transactions contemplated hereby and thereby, as may be amended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 Minimum Price</w:t>
      </w:r>
      <w:r>
        <w:rPr>
          <w:rFonts w:ascii="Times New Roman" w:cs="Times New Roman" w:eastAsia="Times New Roman" w:hAnsi="Times New Roman"/>
          <w:sz w:val="18"/>
          <w:szCs w:val="18"/>
          <w:color w:val="auto"/>
        </w:rPr>
        <w:t>” shall mean, with respect to each Advance, the volume weighted average price (calculated in accordance with the TSX Company Manual) of the Subordinate Voting Shares on the TSX for the five (5) TSX trading days immediately preceding the date of the delivery of the applicable Advance Notice, less the maximum permitted discount provided in the TSX Company Manual, converted to U.S. dollars using the exchange rate quoted by the Bank of Canada at the time of submission of such Advance Notice.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mean a transaction in which the Company (i) issues or sells any Subordinate Voting Shares or Subordinate Voting Share Equivalents that are convertible into, exchangeable or exercisable for, or include the right to receive additional Subordinate Voting Shares either (A) at a conversion price, exercise price, exchange rate or other price that is based upon and/or varies with the trading prices of or quotations for the Subordinate Voting Shares at any time after the initial issuance of Subordinate Voting Shares or Subordinate Voting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Subordinate Voting Shares (including, without limitation, any “full ratchet,” “share ratchet,” “price ratchet,” or “weighted average” anti-dilution provisions, but not including any standard anti-dilution protection for any reorganization, recapitalization, non-cash dividend, share split or other similar transaction), (ii) enters into, or effects a transaction under, any agreement, including but not limited to an “equity line of credit” or similar offering of Subordinate Voting Shares or Subordinate Voting Share Equivalents, or (iii)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Subordinate Voting Shares.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 Threshold</w:t>
      </w:r>
      <w:r>
        <w:rPr>
          <w:rFonts w:ascii="Times New Roman" w:cs="Times New Roman" w:eastAsia="Times New Roman" w:hAnsi="Times New Roman"/>
          <w:sz w:val="18"/>
          <w:szCs w:val="18"/>
          <w:color w:val="auto"/>
        </w:rPr>
        <w:t>” shall mean a number of Subordinate Voting Shares equal to the quotient of (a) the number of Advance Shares requested by the Company in an Advance Notice divided by (b) 0.30.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Trading Day or specified period, the volume weighted average price of the Subordinate Voting Shares on the Principal U.S. Market, for such Trading Day or specified period as reported by Bloomberg L.P. through its “AQR” function.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STANDBY EQUITY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THE RIGHT OF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DELIVER AN ADVANCE NOTICE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 of the Company to deliver an Advance Notice and the obligations of the Investor hereunder with respect to an Advance are subject to the satisfaction or waiver by the Investor, on each Advance Notice Date (a “</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of each of the following conditions:</w:t>
      </w:r>
    </w:p>
    <w:p>
      <w:pPr>
        <w:spacing w:after="0" w:line="162" w:lineRule="exact"/>
        <w:rPr>
          <w:sz w:val="20"/>
          <w:szCs w:val="20"/>
          <w:color w:val="auto"/>
        </w:rPr>
      </w:pPr>
    </w:p>
    <w:p>
      <w:pPr>
        <w:jc w:val="both"/>
        <w:ind w:left="720" w:hanging="388"/>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and Investor's Representations and Warranties</w:t>
      </w:r>
      <w:r>
        <w:rPr>
          <w:rFonts w:ascii="Times New Roman" w:cs="Times New Roman" w:eastAsia="Times New Roman" w:hAnsi="Times New Roman"/>
          <w:sz w:val="18"/>
          <w:szCs w:val="18"/>
          <w:color w:val="auto"/>
        </w:rPr>
        <w:t>. The respective representations and warranties of the Company and the Investor in this Agreement shall be true and correct in all material respects as of the Advance Notice Date and as of each Advance Date (except to the extent such representations and warranties are as of another date, such representations and warranties shall be true and correct as of such other date).</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the Subordinate Voting Shares with the SEC</w:t>
      </w:r>
      <w:r>
        <w:rPr>
          <w:rFonts w:ascii="Times New Roman" w:cs="Times New Roman" w:eastAsia="Times New Roman" w:hAnsi="Times New Roman"/>
          <w:sz w:val="18"/>
          <w:szCs w:val="18"/>
          <w:color w:val="auto"/>
        </w:rPr>
        <w:t>. There is an effective Registration Statement pursuant to which the Investor is permitted to utilize the prospectus thereunder to resell all of the Subordinate Voting Shares issuable pursuant to such Advance Notice. The Current Report shall have been filed with the SEC, and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shall have obtained all permits and qualifications required by any applicable state for the offer and sale of all the Subordinate Voting Shares issuable pursuant to such Advance Notice or shall have the availability of exemptions therefrom. The sale and issuance of such Subordinate Voting Shares shall be legally permitted by all laws and regulations to which the Company is subject.</w:t>
      </w:r>
    </w:p>
    <w:p>
      <w:pPr>
        <w:spacing w:after="0" w:line="17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Outside Event</w:t>
      </w:r>
      <w:r>
        <w:rPr>
          <w:rFonts w:ascii="Times New Roman" w:cs="Times New Roman" w:eastAsia="Times New Roman" w:hAnsi="Times New Roman"/>
          <w:sz w:val="18"/>
          <w:szCs w:val="18"/>
          <w:color w:val="auto"/>
        </w:rPr>
        <w:t>. No Material Outside Event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 The board of directors of the Company has approved the transactions contemplated by the Transaction Documents, (II) said approval has not been amended, rescinded or modified and remains in full force and effect as of each applicable Condition Satisfaction Date, and (III) a true, correct and complete copy of such resolutions duly adopted by the board of directors of the Company shall have been provided to the Investor.</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and the Investor shall have performed, satisfied and complied in all material respects with all covenants, agreements and conditions required by this Agreement to be performed, satisfied or complied with by the Company at or prior to the applicable Condition Satisfaction Date.</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Transaction Documents.</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left="388" w:hanging="388"/>
        <w:spacing w:after="0" w:line="253"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Subordinate Voting Shares</w:t>
      </w:r>
      <w:r>
        <w:rPr>
          <w:rFonts w:ascii="Times New Roman" w:cs="Times New Roman" w:eastAsia="Times New Roman" w:hAnsi="Times New Roman"/>
          <w:sz w:val="18"/>
          <w:szCs w:val="18"/>
          <w:color w:val="auto"/>
        </w:rPr>
        <w:t>. (I) Trading in the Subordinate Voting Shares shall not have been suspended by the SEC, the Principal U.S. Market or FINRA, (II) the Company shall not have received any final or non-appealable notice that the listing or quotation of the Subordinate Voting Shares on the Principal U.S. Market shall be terminated on a date certain (unless, prior to such date certain, the Subordinate Voting Shares are listed or quoted on any subsequent Principal U.S. Market), nor shall there have been imposed any suspension of, or restriction on, accepting additional deposits of the Subordinate Voting Shares, electronic trading or book-entry services by DTC with respect to the Subordinate Voting Shares that is continuing, and (III) the Company shall not have received any notice from DTC to the effect that a suspension of, or restriction on, accepting additional deposits of the Subordinate Voting Shares, electronic trading or book-entry services by DTC with respect to the Subordinate Voting Shares is being imposed or is contemplated (unless, prior to such suspension or restrictions, DTC shall have notified the Company in writing that DTC has determined not to impose any such suspension or restriction), and (IV) all of the Subordinate Voting Shares issuable pursuant to the applicable Advance Notice shall be eligible for deposit at the brokerage account provided by the Investor for the delivery of such Subordinate Voting Shares.</w:t>
      </w:r>
    </w:p>
    <w:p>
      <w:pPr>
        <w:spacing w:after="0" w:line="191"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All of the Subordinate Voting Shares issuable pursuant to the applicable Advance Notice shall have been duly authorized by all necessary corporate action of the Company. All Subordinate Voting Shares relating to all prior Advance Notices required to have been received by the Investor under this Agreement shall have been delivered to the Investor in accordance with this Agreement.</w:t>
      </w:r>
    </w:p>
    <w:p>
      <w:pPr>
        <w:spacing w:after="0" w:line="175" w:lineRule="exact"/>
        <w:rPr>
          <w:rFonts w:ascii="Times New Roman" w:cs="Times New Roman" w:eastAsia="Times New Roman" w:hAnsi="Times New Roman"/>
          <w:sz w:val="18"/>
          <w:szCs w:val="18"/>
          <w:color w:val="auto"/>
        </w:rPr>
      </w:pPr>
    </w:p>
    <w:p>
      <w:pPr>
        <w:ind w:left="388"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Advance Notice</w:t>
      </w:r>
      <w:r>
        <w:rPr>
          <w:rFonts w:ascii="Times New Roman" w:cs="Times New Roman" w:eastAsia="Times New Roman" w:hAnsi="Times New Roman"/>
          <w:sz w:val="18"/>
          <w:szCs w:val="18"/>
          <w:color w:val="auto"/>
        </w:rPr>
        <w:t>. The representations contained in the applicable Advance Notice shall be true and correct in all material respects as of the applicable Condition Satisfaction Date.</w:t>
      </w:r>
    </w:p>
    <w:p>
      <w:pPr>
        <w:spacing w:after="0" w:line="161"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Consecutive Advance Notices</w:t>
      </w:r>
      <w:r>
        <w:rPr>
          <w:rFonts w:ascii="Times New Roman" w:cs="Times New Roman" w:eastAsia="Times New Roman" w:hAnsi="Times New Roman"/>
          <w:sz w:val="18"/>
          <w:szCs w:val="18"/>
          <w:color w:val="auto"/>
        </w:rPr>
        <w:t>. Except with respect to the first Advance Notice, the Company shall have delivered all Shares relating to all prior Advances.</w:t>
      </w:r>
    </w:p>
    <w:p>
      <w:pPr>
        <w:spacing w:after="0" w:line="161"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The Company shall not have materially breached or failed to observe any material term of any debenture, promissory note, or other instrument held by the Investor in the Company or any other agreement between or among the Company and the Investor.</w:t>
      </w:r>
    </w:p>
    <w:p>
      <w:pPr>
        <w:spacing w:after="0" w:line="161"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Neither the Company nor the Investor shall be in possession of any material non-public information regarding the Company and the Company shall not be in blackout under its insider trading policy.</w:t>
      </w:r>
    </w:p>
    <w:p>
      <w:pPr>
        <w:spacing w:after="0" w:line="377"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ADVANCE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Dated:______________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Number: ____</w:t>
      </w:r>
    </w:p>
    <w:p>
      <w:pPr>
        <w:spacing w:after="0" w:line="200" w:lineRule="exact"/>
        <w:rPr>
          <w:sz w:val="20"/>
          <w:szCs w:val="20"/>
          <w:color w:val="auto"/>
        </w:rPr>
      </w:pPr>
    </w:p>
    <w:p>
      <w:pPr>
        <w:sectPr>
          <w:pgSz w:w="11900" w:h="16838" w:orient="portrait"/>
          <w:cols w:equalWidth="0" w:num="2">
            <w:col w:w="8160" w:space="720"/>
            <w:col w:w="2360"/>
          </w:cols>
          <w:pgMar w:left="320" w:top="900"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_______________________, hereby certifies, with respect to the sale of Subordinate Voting Shares of XANADU QUANTUM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TECHNOLOGIES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issuable in connection with this Advance Notice, delivered pursuant to that certain Standby Equity Purchase Agreement, dated as of [________]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 (with capitalized terms used herein without definition having the same meanings as given to them in the Agreement):</w:t>
      </w:r>
    </w:p>
    <w:p>
      <w:pPr>
        <w:spacing w:after="0" w:line="186" w:lineRule="exact"/>
        <w:rPr>
          <w:sz w:val="20"/>
          <w:szCs w:val="20"/>
          <w:color w:val="auto"/>
        </w:rPr>
      </w:pPr>
    </w:p>
    <w:p>
      <w:pPr>
        <w:ind w:left="1100" w:hanging="444"/>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______________ of the Company.</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fundamental changes to the information set forth in the Registration Statement which would require the Company to file a post-effective amendment to the Registration Statement.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Advance Shares the Company is requesting is _____________________.</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Subordinate Voting Shares of the Company outstanding as of the date hereof is ___________.</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Acceptable Price with respect to this Advance Notice is ____________ (if left blank then no Minimum Acceptable Price will be applicable to this Advance).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has executed this Advance Notice as of the date first set forth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Trading@yorkvilleadvisors.com</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Trading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201-985-8300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XANADU QUANTUM TECHNOLOGIES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160" w:type="dxa"/>
            <w:vAlign w:val="bottom"/>
            <w:tcBorders>
              <w:top w:val="single" w:sz="8" w:color="auto"/>
              <w:left w:val="single" w:sz="8" w:color="auto"/>
              <w:right w:val="single" w:sz="8" w:color="auto"/>
            </w:tcBorders>
          </w:tcPr>
          <w:p>
            <w:pPr>
              <w:spacing w:after="0"/>
              <w:rPr>
                <w:sz w:val="24"/>
                <w:szCs w:val="24"/>
                <w:color w:val="auto"/>
              </w:rPr>
            </w:pPr>
          </w:p>
        </w:tc>
        <w:tc>
          <w:tcPr>
            <w:tcW w:w="762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Below please find the settlement information with respect to the Advance Notice Date of:</w:t>
            </w:r>
          </w:p>
        </w:tc>
        <w:tc>
          <w:tcPr>
            <w:tcW w:w="2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1.a.</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Number of Subordinate Voting Shares requested in the Advance Notice</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1.b.</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Volume Threshold (Number of Subordinate Voting Shares in (1.a.) divided by 0.30</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1.c.</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Number of Subordinate Voting Shares traded during Pricing Period</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1.d.</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Reduced Advance pursuant to Section 2.01(d) (as applicable)</w:t>
            </w:r>
          </w:p>
        </w:tc>
        <w:tc>
          <w:tcPr>
            <w:tcW w:w="2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Price</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Purchase Price (Market Price x 97.50%) per share, provided that if such price is less than the TSX</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continue"/>
          </w:tcPr>
          <w:p>
            <w:pPr>
              <w:spacing w:after="0"/>
              <w:rPr>
                <w:sz w:val="10"/>
                <w:szCs w:val="10"/>
                <w:color w:val="auto"/>
              </w:rPr>
            </w:pPr>
          </w:p>
        </w:tc>
        <w:tc>
          <w:tcPr>
            <w:tcW w:w="76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Minimum Price, “Purchase Price” shall mean the applicable TSX Minimum Price</w:t>
            </w: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7620" w:type="dxa"/>
            <w:vAlign w:val="bottom"/>
            <w:tcBorders>
              <w:right w:val="single" w:sz="8" w:color="auto"/>
            </w:tcBorders>
            <w:gridSpan w:val="3"/>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Number of Advance Shares due to the Investor</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Total Purchase Price due to Company (row 3 x row 4)</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5"/>
        </w:trPr>
        <w:tc>
          <w:tcPr>
            <w:tcW w:w="11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3"/>
          </w:tcPr>
          <w:p>
            <w:pPr>
              <w:ind w:left="4260"/>
              <w:spacing w:after="0"/>
              <w:rPr>
                <w:sz w:val="20"/>
                <w:szCs w:val="20"/>
                <w:color w:val="auto"/>
              </w:rPr>
            </w:pPr>
            <w:r>
              <w:rPr>
                <w:rFonts w:ascii="Times New Roman" w:cs="Times New Roman" w:eastAsia="Times New Roman" w:hAnsi="Times New Roman"/>
                <w:sz w:val="18"/>
                <w:szCs w:val="18"/>
                <w:color w:val="auto"/>
              </w:rPr>
              <w:t>- 32 -</w:t>
            </w: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approved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2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Xanadu Announces $300 Million Synthetic At-The-Market Program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 | May 21st, 2026 /CNW/ -- </w:t>
      </w:r>
      <w:r>
        <w:rPr>
          <w:rFonts w:ascii="Times New Roman" w:cs="Times New Roman" w:eastAsia="Times New Roman" w:hAnsi="Times New Roman"/>
          <w:sz w:val="18"/>
          <w:szCs w:val="18"/>
          <w:color w:val="auto"/>
        </w:rPr>
        <w:t>Xanadu Quantum Technologies Limited (“Xanadu” or the “Company”; Nasdaq/TSX: XNDU),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photonic quantum computing company, today announced that it has entered into a synthetic at-the-market equity facility for up to $300 million (the “Program”) with YA II PN, Ltd. (“Yorkville Advisors”). The Company intends to use the net proceeds, if any, for working capital and general corporate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 provides Xanadu with the ability, but not the obligation, to issue and sell to Yorkville Advisors up to $300 million of its Class B subordinate voting shares in private placements over a term of three years, subject to certain limitations and conditions in the Standby Equity Purchase Agreement between Xanadu and Yorkville Advisors dated May 20, 2026 (the “SEPA”). The Company expects to access the Program opportunistically, based on prevailing market conditions and valuation levels it believes to be favorable to shareholder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net proceeds from the Program will be received directly by the Company. The Program consists exclusively of treasury offerings by the Company, with no secondary sales by existing shareholders. In connection with the launch of the Program, the Company plans to file a registration statement on Form F-1 with the U.S. Securities and Exchange Commission (the “SEC”), to qualify the re-sale of shares issued pursuant to the Program by Yorkville Advisors in accordance with applicable U.S. securities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Program will provide us with efficient and flexible access to capital as we continue scaling and executing on our long-term roadmap towards fault-tolerant quantum computing,” said Michael Trzupek, Chief Financial Officer of Xanadu. “Our objective is to strategically and prudently tap the equity market to enable us to remain well-positioned to fund our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SEPA will be filed with the SEC (www.sec.gov) and the Canadian Securities Administrators (the “CSA”) (www.sedarplus.com). The descriptions contained in this press release are summaries only, do not purport to be complete, and are qualified in their entirety by reference to the agreement furnished as an exhibit to the Company’s Form 6-K filed with the SEC as of this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offers to buy any securities of Xanadu, and shall not constitute an offer, solicitation or sale of any security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Xanadu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Backed by more than $500 million USD in historical funding, Xanadu develops both hardware and software, including </w:t>
      </w:r>
      <w:r>
        <w:rPr>
          <w:rFonts w:ascii="Times New Roman" w:cs="Times New Roman" w:eastAsia="Times New Roman" w:hAnsi="Times New Roman"/>
          <w:sz w:val="18"/>
          <w:szCs w:val="18"/>
          <w:u w:val="single" w:color="auto"/>
          <w:color w:val="auto"/>
        </w:rPr>
        <w:t>PennyLane</w:t>
      </w:r>
      <w:r>
        <w:rPr>
          <w:rFonts w:ascii="Times New Roman" w:cs="Times New Roman" w:eastAsia="Times New Roman" w:hAnsi="Times New Roman"/>
          <w:sz w:val="18"/>
          <w:szCs w:val="18"/>
          <w:color w:val="auto"/>
        </w:rPr>
        <w:t>,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Press Contact: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press@xanadu.ai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investors@xanadu.ai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Program, including its size, the intended use of net proceeds therefrom, expected benefits thereof; the filing of a resale registration statement on Form F-1; the Company’s ability to continue scaling and executing on its long-term roadmap towards fault-tolerant quantum computing and the Company’s objective to strategically and prudently tap the equity market to fund its growth strategy.</w:t>
      </w:r>
    </w:p>
    <w:p>
      <w:pPr>
        <w:spacing w:after="0" w:line="192" w:lineRule="exact"/>
        <w:rPr>
          <w:sz w:val="20"/>
          <w:szCs w:val="20"/>
          <w:color w:val="auto"/>
        </w:rPr>
      </w:pPr>
    </w:p>
    <w:p>
      <w:pPr>
        <w:jc w:val="both"/>
        <w:ind w:right="20" w:firstLine="3"/>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w:t>
      </w:r>
    </w:p>
    <w:p>
      <w:pPr>
        <w:spacing w:after="0" w:line="183" w:lineRule="exact"/>
        <w:rPr>
          <w:sz w:val="20"/>
          <w:szCs w:val="20"/>
          <w:color w:val="auto"/>
        </w:rPr>
      </w:pPr>
    </w:p>
    <w:p>
      <w:pPr>
        <w:jc w:val="both"/>
        <w:ind w:firstLine="8"/>
        <w:spacing w:after="0" w:line="251" w:lineRule="auto"/>
        <w:rPr>
          <w:sz w:val="20"/>
          <w:szCs w:val="20"/>
          <w:color w:val="auto"/>
        </w:rPr>
      </w:pPr>
      <w:r>
        <w:rPr>
          <w:rFonts w:ascii="Times New Roman" w:cs="Times New Roman" w:eastAsia="Times New Roman" w:hAnsi="Times New Roman"/>
          <w:sz w:val="18"/>
          <w:szCs w:val="18"/>
          <w:color w:val="auto"/>
        </w:rPr>
        <w:t>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Company's ability to maintain internal control over financial reporting and operate as a public company; the outcome of any legal proceedings or government investigations that may be commenced against Xanadu; failure to realize the anticipated benefits of the business combination with Crane Harbor Acquisition Corp.; the Company's ability to issue equity or equity linked securities in the future; risks related to the Program, including the potential for substantial dilution to existing shareholders resulting from the issuance of Class B subordinate voting shares thereunder, the risk that sales of such shares or the perception that such sales may occur, could cause the price of the Company's Class B subordinate voting shares to decline; and other factors described in the Company's filings with the SEC and the CSA, which factors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press release;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spacing w:after="0" w:line="205" w:lineRule="exact"/>
        <w:rPr>
          <w:sz w:val="20"/>
          <w:szCs w:val="20"/>
          <w:color w:val="auto"/>
        </w:rPr>
      </w:pPr>
    </w:p>
    <w:p>
      <w:pPr>
        <w:jc w:val="both"/>
        <w:ind w:left="20" w:firstLine="12"/>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lvl w:ilvl="1">
      <w:lvlJc w:val="left"/>
      <w:lvlText w:val="(%2)"/>
      <w:numFmt w:val="lowerRoman"/>
      <w:start w:val="1"/>
    </w:lvl>
  </w:abstractNum>
  <w:abstractNum w:abstractNumId="2">
    <w:nsid w:val="4DB127F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
    <w:nsid w:val="216231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4">
    <w:nsid w:val="1F16E9E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lvl w:ilvl="1">
      <w:lvlJc w:val="left"/>
      <w:lvlText w:val="-"/>
      <w:numFmt w:val="bullet"/>
      <w:start w:val="1"/>
    </w:lvl>
  </w:abstractNum>
  <w:abstractNum w:abstractNumId="7">
    <w:nsid w:val="140E0F76"/>
    <w:multiLevelType w:val="hybridMultilevel"/>
    <w:lvl w:ilvl="0">
      <w:lvlJc w:val="left"/>
      <w:lvlText w:val="(%1)"/>
      <w:numFmt w:val="lowerLetter"/>
      <w:start w:val="1"/>
    </w:lvl>
    <w:lvl w:ilvl="1">
      <w:lvlJc w:val="left"/>
      <w:lvlText w:val="-"/>
      <w:numFmt w:val="bullet"/>
      <w:start w:val="1"/>
    </w:lvl>
  </w:abstractNum>
  <w:abstractNum w:abstractNumId="8">
    <w:nsid w:val="3352255A"/>
    <w:multiLevelType w:val="hybridMultilevel"/>
    <w:lvl w:ilvl="0">
      <w:lvlJc w:val="left"/>
      <w:lvlText w:val="(%1)"/>
      <w:numFmt w:val="lowerLetter"/>
      <w:start w:val="1"/>
    </w:lvl>
    <w:lvl w:ilvl="1">
      <w:lvlJc w:val="left"/>
      <w:lvlText w:val="-"/>
      <w:numFmt w:val="bullet"/>
      <w:start w:val="1"/>
    </w:lvl>
  </w:abstractNum>
  <w:abstractNum w:abstractNumId="9">
    <w:nsid w:val="109CF92E"/>
    <w:multiLevelType w:val="hybridMultilevel"/>
    <w:lvl w:ilvl="0">
      <w:lvlJc w:val="left"/>
      <w:lvlText w:val="(%1)"/>
      <w:numFmt w:val="lowerLetter"/>
      <w:start w:val="3"/>
    </w:lvl>
    <w:lvl w:ilvl="1">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upperLetter"/>
      <w:start w:val="2"/>
    </w:lvl>
  </w:abstractNum>
  <w:abstractNum w:abstractNumId="12">
    <w:nsid w:val="1BEFD79F"/>
    <w:multiLevelType w:val="hybridMultilevel"/>
    <w:lvl w:ilvl="0">
      <w:lvlJc w:val="left"/>
      <w:lvlText w:val="(%1)"/>
      <w:numFmt w:val="lowerLetter"/>
      <w:start w:val="1"/>
    </w:lvl>
    <w:lvl w:ilvl="1">
      <w:lvlJc w:val="left"/>
      <w:lvlText w:val="-"/>
      <w:numFmt w:val="bullet"/>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1"/>
    </w:lvl>
    <w:lvl w:ilvl="1">
      <w:lvlJc w:val="left"/>
      <w:lvlText w:val="-"/>
      <w:numFmt w:val="bullet"/>
      <w:start w:val="1"/>
    </w:lvl>
  </w:abstractNum>
  <w:abstractNum w:abstractNumId="15">
    <w:nsid w:val="4E6AFB66"/>
    <w:multiLevelType w:val="hybridMultilevel"/>
    <w:lvl w:ilvl="0">
      <w:lvlJc w:val="left"/>
      <w:lvlText w:val="(%1)"/>
      <w:numFmt w:val="lowerLetter"/>
      <w:start w:val="8"/>
    </w:lvl>
    <w:lvl w:ilvl="1">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2026-05-21T06:39:34Z</dcterms:created>
  <dcterms:modified xsi:type="dcterms:W3CDTF">2026-05-21T06:39:34Z</dcterms:modified>
</cp:coreProperties>
</file>